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rPr>
          <w:rFonts w:ascii="Times New Roman" w:hAnsi="Times New Roman"/>
          <w:b/>
        </w:rPr>
      </w:pPr>
    </w:p>
    <w:p w:rsidR="00586B49" w:rsidRDefault="00586B49">
      <w:pPr>
        <w:contextualSpacing/>
        <w:jc w:val="center"/>
        <w:rPr>
          <w:rFonts w:ascii="Times New Roman" w:hAnsi="Times New Roman"/>
          <w:b/>
        </w:rPr>
      </w:pPr>
    </w:p>
    <w:p w:rsidR="00586B49" w:rsidRPr="00B17AA0" w:rsidRDefault="00AB5C5C" w:rsidP="00FB4682">
      <w:pPr>
        <w:contextualSpacing/>
        <w:jc w:val="center"/>
        <w:rPr>
          <w:rFonts w:ascii="Times New Roman" w:hAnsi="Times New Roman"/>
          <w:b/>
          <w:sz w:val="24"/>
          <w:szCs w:val="24"/>
        </w:rPr>
      </w:pPr>
      <w:r w:rsidRPr="00B17AA0">
        <w:rPr>
          <w:rFonts w:ascii="Times New Roman" w:hAnsi="Times New Roman"/>
          <w:b/>
          <w:sz w:val="24"/>
          <w:szCs w:val="24"/>
        </w:rPr>
        <w:t>RAPORT I AUDITUESËVE TË PAVARUR</w:t>
      </w:r>
    </w:p>
    <w:p w:rsidR="00586B49" w:rsidRPr="00B17AA0" w:rsidRDefault="00586B49" w:rsidP="00FB4682">
      <w:pPr>
        <w:contextualSpacing/>
        <w:jc w:val="center"/>
        <w:rPr>
          <w:rFonts w:ascii="Times New Roman" w:hAnsi="Times New Roman"/>
          <w:b/>
          <w:sz w:val="24"/>
          <w:szCs w:val="24"/>
        </w:rPr>
      </w:pPr>
    </w:p>
    <w:p w:rsidR="00586B49" w:rsidRPr="00B17AA0" w:rsidRDefault="00AB5C5C" w:rsidP="00FB4682">
      <w:pPr>
        <w:contextualSpacing/>
        <w:jc w:val="center"/>
        <w:rPr>
          <w:rFonts w:ascii="Times New Roman" w:hAnsi="Times New Roman"/>
          <w:b/>
          <w:sz w:val="24"/>
          <w:szCs w:val="24"/>
          <w:u w:val="single"/>
        </w:rPr>
      </w:pPr>
      <w:r w:rsidRPr="00B17AA0">
        <w:rPr>
          <w:rFonts w:ascii="Times New Roman" w:hAnsi="Times New Roman"/>
          <w:b/>
          <w:sz w:val="24"/>
          <w:szCs w:val="24"/>
        </w:rPr>
        <w:t>SHOQËRIA</w:t>
      </w:r>
      <w:r w:rsidRPr="00B17AA0">
        <w:rPr>
          <w:rFonts w:ascii="Times New Roman" w:hAnsi="Times New Roman"/>
          <w:b/>
          <w:bCs/>
          <w:sz w:val="24"/>
          <w:szCs w:val="24"/>
        </w:rPr>
        <w:t xml:space="preserve"> “OPERATORI SHPËRNDARJES ENERGJISË ELEKTRIKE” SH.A.</w:t>
      </w:r>
    </w:p>
    <w:p w:rsidR="00586B49" w:rsidRPr="00B17AA0" w:rsidRDefault="00AB5C5C" w:rsidP="00FB4682">
      <w:pPr>
        <w:contextualSpacing/>
        <w:jc w:val="center"/>
        <w:rPr>
          <w:rFonts w:ascii="Times New Roman" w:hAnsi="Times New Roman"/>
          <w:b/>
          <w:sz w:val="24"/>
          <w:szCs w:val="24"/>
        </w:rPr>
      </w:pPr>
      <w:r w:rsidRPr="00B17AA0">
        <w:rPr>
          <w:rFonts w:ascii="Times New Roman" w:hAnsi="Times New Roman"/>
          <w:b/>
          <w:sz w:val="24"/>
          <w:szCs w:val="24"/>
        </w:rPr>
        <w:t>(Për vitin ushtrimor të mbyllur më datë 31 dhjetor 2014)</w:t>
      </w:r>
    </w:p>
    <w:p w:rsidR="00586B49" w:rsidRPr="00B17AA0" w:rsidRDefault="00AB5C5C" w:rsidP="00FB4682">
      <w:pPr>
        <w:contextualSpacing/>
        <w:jc w:val="center"/>
        <w:rPr>
          <w:rFonts w:ascii="Times New Roman" w:hAnsi="Times New Roman"/>
          <w:b/>
          <w:sz w:val="24"/>
          <w:szCs w:val="24"/>
        </w:rPr>
      </w:pPr>
      <w:r w:rsidRPr="00B17AA0">
        <w:rPr>
          <w:rFonts w:ascii="Times New Roman" w:hAnsi="Times New Roman"/>
          <w:b/>
          <w:sz w:val="24"/>
          <w:szCs w:val="24"/>
        </w:rPr>
        <w:t xml:space="preserve">NIPT: </w:t>
      </w:r>
      <w:r w:rsidRPr="00B17AA0">
        <w:rPr>
          <w:rFonts w:ascii="Times New Roman" w:eastAsia="Calibri" w:hAnsi="Times New Roman"/>
          <w:b/>
          <w:sz w:val="24"/>
          <w:szCs w:val="24"/>
        </w:rPr>
        <w:t>K72410014H</w:t>
      </w: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586B49" w:rsidP="00FB4682">
      <w:pPr>
        <w:contextualSpacing/>
        <w:jc w:val="both"/>
        <w:rPr>
          <w:rFonts w:ascii="Times New Roman" w:hAnsi="Times New Roman"/>
          <w:b/>
          <w:sz w:val="24"/>
          <w:szCs w:val="24"/>
        </w:rPr>
      </w:pPr>
    </w:p>
    <w:p w:rsidR="00586B49" w:rsidRPr="00B17AA0" w:rsidRDefault="00AB5C5C" w:rsidP="00FB4682">
      <w:pPr>
        <w:contextualSpacing/>
        <w:jc w:val="both"/>
        <w:rPr>
          <w:rFonts w:ascii="Times New Roman" w:hAnsi="Times New Roman"/>
          <w:b/>
          <w:sz w:val="24"/>
          <w:szCs w:val="24"/>
        </w:rPr>
      </w:pPr>
      <w:r w:rsidRPr="00B17AA0">
        <w:rPr>
          <w:rFonts w:ascii="Times New Roman" w:hAnsi="Times New Roman"/>
          <w:b/>
          <w:sz w:val="24"/>
          <w:szCs w:val="24"/>
        </w:rPr>
        <w:t>Tiranë, më</w:t>
      </w:r>
      <w:r w:rsidR="00AA1F87">
        <w:rPr>
          <w:rFonts w:ascii="Times New Roman" w:hAnsi="Times New Roman"/>
          <w:b/>
          <w:sz w:val="24"/>
          <w:szCs w:val="24"/>
        </w:rPr>
        <w:t xml:space="preserve"> 20</w:t>
      </w:r>
      <w:r w:rsidRPr="00B17AA0">
        <w:rPr>
          <w:rFonts w:ascii="Times New Roman" w:hAnsi="Times New Roman"/>
          <w:b/>
          <w:sz w:val="24"/>
          <w:szCs w:val="24"/>
        </w:rPr>
        <w:t>/</w:t>
      </w:r>
      <w:r w:rsidR="00AA1F87">
        <w:rPr>
          <w:rFonts w:ascii="Times New Roman" w:hAnsi="Times New Roman"/>
          <w:b/>
          <w:sz w:val="24"/>
          <w:szCs w:val="24"/>
        </w:rPr>
        <w:t>07</w:t>
      </w:r>
      <w:r w:rsidRPr="00B17AA0">
        <w:rPr>
          <w:rFonts w:ascii="Times New Roman" w:hAnsi="Times New Roman"/>
          <w:b/>
          <w:sz w:val="24"/>
          <w:szCs w:val="24"/>
        </w:rPr>
        <w:t xml:space="preserve"> /2015</w:t>
      </w:r>
    </w:p>
    <w:p w:rsidR="00586B49" w:rsidRPr="00B17AA0" w:rsidRDefault="00AB5C5C" w:rsidP="00FB4682">
      <w:pPr>
        <w:tabs>
          <w:tab w:val="left" w:pos="1472"/>
        </w:tabs>
        <w:contextualSpacing/>
        <w:jc w:val="both"/>
        <w:rPr>
          <w:rFonts w:ascii="Times New Roman" w:hAnsi="Times New Roman"/>
          <w:b/>
          <w:sz w:val="24"/>
          <w:szCs w:val="24"/>
        </w:rPr>
      </w:pPr>
      <w:r w:rsidRPr="00B17AA0">
        <w:rPr>
          <w:rFonts w:ascii="Times New Roman" w:hAnsi="Times New Roman"/>
          <w:b/>
          <w:sz w:val="24"/>
          <w:szCs w:val="24"/>
        </w:rPr>
        <w:tab/>
      </w:r>
    </w:p>
    <w:p w:rsidR="00586B49" w:rsidRPr="00B17AA0" w:rsidRDefault="00586B49" w:rsidP="00FB4682">
      <w:pPr>
        <w:contextualSpacing/>
        <w:jc w:val="both"/>
        <w:rPr>
          <w:rFonts w:ascii="Times New Roman" w:hAnsi="Times New Roman"/>
          <w:b/>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lastRenderedPageBreak/>
        <w:t>RAPORTI I AUDITUESËVE TË PAVARUR</w:t>
      </w:r>
    </w:p>
    <w:p w:rsidR="00586B49" w:rsidRPr="00B17AA0" w:rsidRDefault="00586B49" w:rsidP="00AF4942">
      <w:pPr>
        <w:contextualSpacing/>
        <w:jc w:val="both"/>
        <w:rPr>
          <w:rFonts w:ascii="Times New Roman" w:hAnsi="Times New Roman"/>
          <w:b/>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t>Drejtuar:</w:t>
      </w:r>
    </w:p>
    <w:p w:rsidR="00586B49" w:rsidRPr="00B17AA0" w:rsidRDefault="00586B49" w:rsidP="00AF4942">
      <w:pPr>
        <w:contextualSpacing/>
        <w:jc w:val="both"/>
        <w:rPr>
          <w:rFonts w:ascii="Times New Roman" w:hAnsi="Times New Roman"/>
          <w:b/>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t xml:space="preserve">Këshillit Mbikëqyrës të Shoqërisë, </w:t>
      </w:r>
    </w:p>
    <w:p w:rsidR="00586B49" w:rsidRPr="00B17AA0" w:rsidRDefault="00586B49" w:rsidP="00AF4942">
      <w:pPr>
        <w:contextualSpacing/>
        <w:jc w:val="both"/>
        <w:rPr>
          <w:rFonts w:ascii="Times New Roman" w:hAnsi="Times New Roman"/>
          <w:b/>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t>Administratorit të Shoqërisë, Zotit Adrian ÇELA.</w:t>
      </w:r>
    </w:p>
    <w:p w:rsidR="00586B49" w:rsidRPr="00B17AA0" w:rsidRDefault="00586B49" w:rsidP="00AF4942">
      <w:pPr>
        <w:contextualSpacing/>
        <w:jc w:val="both"/>
        <w:rPr>
          <w:rFonts w:ascii="Times New Roman" w:hAnsi="Times New Roman"/>
          <w:sz w:val="24"/>
          <w:szCs w:val="24"/>
        </w:rPr>
      </w:pPr>
    </w:p>
    <w:p w:rsidR="00586B49" w:rsidRPr="00B17AA0" w:rsidRDefault="00AB5C5C" w:rsidP="00AF4942">
      <w:pPr>
        <w:contextualSpacing/>
        <w:jc w:val="both"/>
        <w:rPr>
          <w:rFonts w:ascii="Times New Roman" w:hAnsi="Times New Roman"/>
          <w:sz w:val="24"/>
          <w:szCs w:val="24"/>
        </w:rPr>
      </w:pPr>
      <w:r w:rsidRPr="00B17AA0">
        <w:rPr>
          <w:rFonts w:ascii="Times New Roman" w:hAnsi="Times New Roman"/>
          <w:sz w:val="24"/>
          <w:szCs w:val="24"/>
        </w:rPr>
        <w:t xml:space="preserve">Ne kemi audituar Pasqyrat Financiare të Shoqërisë "Operatori i </w:t>
      </w:r>
      <w:r w:rsidR="00FB4682" w:rsidRPr="00B17AA0">
        <w:rPr>
          <w:rFonts w:ascii="Times New Roman" w:hAnsi="Times New Roman"/>
          <w:sz w:val="24"/>
          <w:szCs w:val="24"/>
        </w:rPr>
        <w:t>Shpërndarjes Energjisë</w:t>
      </w:r>
      <w:r w:rsidRPr="00B17AA0">
        <w:rPr>
          <w:rFonts w:ascii="Times New Roman" w:hAnsi="Times New Roman"/>
          <w:sz w:val="24"/>
          <w:szCs w:val="24"/>
        </w:rPr>
        <w:t xml:space="preserve"> Elektrike”sh.a. , të cilat  përmbajnë; Pasqyrën e Pozicionit Financiar më datë 31 dhjetor 2014, Pasqyrën e të Ardhurave dhe Shpenzimeve (gjithëpërfshirëse), Pasqyrën e Fluksit të Parasë dhe të Ndryshimeve në Kapital për këtë vit ushtrimor, si dhe një përmbledhje të politikave kontabile dhe të tjera shënime shpjeguese.</w:t>
      </w:r>
    </w:p>
    <w:p w:rsidR="00AB5C5C" w:rsidRPr="00B17AA0" w:rsidRDefault="00AB5C5C" w:rsidP="00AF4942">
      <w:pPr>
        <w:contextualSpacing/>
        <w:jc w:val="both"/>
        <w:rPr>
          <w:rFonts w:ascii="Times New Roman" w:hAnsi="Times New Roman"/>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t xml:space="preserve">Përgjegjësitë e Drejtimit </w:t>
      </w:r>
      <w:r w:rsidR="00FB4682" w:rsidRPr="00B17AA0">
        <w:rPr>
          <w:rFonts w:ascii="Times New Roman" w:hAnsi="Times New Roman"/>
          <w:b/>
          <w:sz w:val="24"/>
          <w:szCs w:val="24"/>
        </w:rPr>
        <w:t>të Shoqërise</w:t>
      </w:r>
      <w:r w:rsidRPr="00B17AA0">
        <w:rPr>
          <w:rFonts w:ascii="Times New Roman" w:hAnsi="Times New Roman"/>
          <w:b/>
          <w:sz w:val="24"/>
          <w:szCs w:val="24"/>
        </w:rPr>
        <w:t xml:space="preserve"> “OSHEE” sh.a. </w:t>
      </w:r>
    </w:p>
    <w:p w:rsidR="00586B49" w:rsidRPr="00B17AA0" w:rsidRDefault="00586B49" w:rsidP="00AF4942">
      <w:pPr>
        <w:contextualSpacing/>
        <w:jc w:val="both"/>
        <w:rPr>
          <w:rFonts w:ascii="Times New Roman" w:hAnsi="Times New Roman"/>
          <w:sz w:val="24"/>
          <w:szCs w:val="24"/>
        </w:rPr>
      </w:pPr>
    </w:p>
    <w:p w:rsidR="00586B49" w:rsidRPr="00B17AA0" w:rsidRDefault="00AB5C5C" w:rsidP="00AF4942">
      <w:pPr>
        <w:contextualSpacing/>
        <w:jc w:val="both"/>
        <w:rPr>
          <w:rFonts w:ascii="Times New Roman" w:hAnsi="Times New Roman"/>
          <w:sz w:val="24"/>
          <w:szCs w:val="24"/>
        </w:rPr>
      </w:pPr>
      <w:r w:rsidRPr="00B17AA0">
        <w:rPr>
          <w:rFonts w:ascii="Times New Roman" w:hAnsi="Times New Roman"/>
          <w:sz w:val="24"/>
          <w:szCs w:val="24"/>
        </w:rPr>
        <w:t xml:space="preserve">Drejtimi i shoqerise “OSHEE” </w:t>
      </w:r>
      <w:r w:rsidR="00FB4682" w:rsidRPr="00B17AA0">
        <w:rPr>
          <w:rFonts w:ascii="Times New Roman" w:hAnsi="Times New Roman"/>
          <w:sz w:val="24"/>
          <w:szCs w:val="24"/>
        </w:rPr>
        <w:t>sh.a</w:t>
      </w:r>
      <w:r w:rsidR="00351B39">
        <w:rPr>
          <w:rFonts w:ascii="Times New Roman" w:hAnsi="Times New Roman"/>
          <w:sz w:val="24"/>
          <w:szCs w:val="24"/>
        </w:rPr>
        <w:t xml:space="preserve"> </w:t>
      </w:r>
      <w:r w:rsidRPr="00B17AA0">
        <w:rPr>
          <w:rFonts w:ascii="Times New Roman" w:hAnsi="Times New Roman"/>
          <w:sz w:val="24"/>
          <w:szCs w:val="24"/>
        </w:rPr>
        <w:t xml:space="preserve"> është përgjegjës për përgatitjen dhe paraqitjen e sinqertë të këtyre Pasqyrave Financiare, në përputhje me Standartet Ndërkombëtare të Raportimit Financiar (SNRF), dhe kontrollit të brendshëm, të cilat Drejtimi i përcakton si të nevojshëm për të mundësuar përgatitjen e Pasqyrave Financiare, që janë pa gabime materiale, qoftë për shkak të mashtrimit apo të gabimeve. </w:t>
      </w:r>
    </w:p>
    <w:p w:rsidR="00586B49" w:rsidRPr="00B17AA0" w:rsidRDefault="00586B49" w:rsidP="00AF4942">
      <w:pPr>
        <w:contextualSpacing/>
        <w:jc w:val="both"/>
        <w:rPr>
          <w:rFonts w:ascii="Times New Roman" w:hAnsi="Times New Roman"/>
          <w:sz w:val="24"/>
          <w:szCs w:val="24"/>
        </w:rPr>
      </w:pPr>
    </w:p>
    <w:p w:rsidR="00586B49" w:rsidRPr="00B17AA0" w:rsidRDefault="00AB5C5C" w:rsidP="00AF4942">
      <w:pPr>
        <w:contextualSpacing/>
        <w:jc w:val="both"/>
        <w:rPr>
          <w:rFonts w:ascii="Times New Roman" w:hAnsi="Times New Roman"/>
          <w:b/>
          <w:sz w:val="24"/>
          <w:szCs w:val="24"/>
        </w:rPr>
      </w:pPr>
      <w:r w:rsidRPr="00B17AA0">
        <w:rPr>
          <w:rFonts w:ascii="Times New Roman" w:hAnsi="Times New Roman"/>
          <w:b/>
          <w:sz w:val="24"/>
          <w:szCs w:val="24"/>
        </w:rPr>
        <w:t xml:space="preserve">Përgjegjësitë e Audituesit të Pavarur </w:t>
      </w:r>
    </w:p>
    <w:p w:rsidR="00586B49" w:rsidRPr="00B17AA0" w:rsidRDefault="00AB5C5C" w:rsidP="00AF4942">
      <w:pPr>
        <w:contextualSpacing/>
        <w:jc w:val="both"/>
        <w:rPr>
          <w:rFonts w:ascii="Times New Roman" w:hAnsi="Times New Roman"/>
          <w:sz w:val="24"/>
          <w:szCs w:val="24"/>
        </w:rPr>
      </w:pPr>
      <w:r w:rsidRPr="00B17AA0">
        <w:rPr>
          <w:rFonts w:ascii="Times New Roman" w:hAnsi="Times New Roman"/>
          <w:sz w:val="24"/>
          <w:szCs w:val="24"/>
        </w:rPr>
        <w:t xml:space="preserve">Përgjegjësia jonë është të shprehim një opinion për pasqyrat financiare duke u bazuar në auditimin e kryer. Ne kryem auditimin tonë në përputhje me Standardet Ndërkombëtare të Auditimit. </w:t>
      </w:r>
    </w:p>
    <w:p w:rsidR="00586B49" w:rsidRPr="00B17AA0" w:rsidRDefault="00AB5C5C" w:rsidP="00AF4942">
      <w:pPr>
        <w:contextualSpacing/>
        <w:jc w:val="both"/>
        <w:rPr>
          <w:rFonts w:ascii="Times New Roman" w:hAnsi="Times New Roman"/>
          <w:sz w:val="24"/>
          <w:szCs w:val="24"/>
        </w:rPr>
      </w:pPr>
      <w:r w:rsidRPr="00B17AA0">
        <w:rPr>
          <w:rFonts w:ascii="Times New Roman" w:hAnsi="Times New Roman"/>
          <w:sz w:val="24"/>
          <w:szCs w:val="24"/>
        </w:rPr>
        <w:t xml:space="preserve">Megjithatë, për arsye të çështjeve që përshkruhen tek paragrafi për "Bazat e Refuzimit të Dhënies së Opinionit", ne nuk ishim në gjëndje të siguronim të dhëna të mjaftueshme dhe të përshtatshme auditimi për të krijuar një bazë për dhënien e opinionit. </w:t>
      </w:r>
    </w:p>
    <w:p w:rsidR="00586B49" w:rsidRPr="00B17AA0" w:rsidRDefault="00586B49" w:rsidP="00FB4682">
      <w:pPr>
        <w:contextualSpacing/>
        <w:jc w:val="both"/>
        <w:rPr>
          <w:rFonts w:ascii="Times New Roman" w:hAnsi="Times New Roman"/>
          <w:sz w:val="24"/>
          <w:szCs w:val="24"/>
        </w:rPr>
      </w:pPr>
    </w:p>
    <w:p w:rsidR="00586B49" w:rsidRPr="00B17AA0" w:rsidRDefault="00AB5C5C" w:rsidP="00FB4682">
      <w:pPr>
        <w:contextualSpacing/>
        <w:jc w:val="both"/>
        <w:rPr>
          <w:rFonts w:ascii="Times New Roman" w:hAnsi="Times New Roman"/>
          <w:b/>
          <w:sz w:val="24"/>
          <w:szCs w:val="24"/>
        </w:rPr>
      </w:pPr>
      <w:r w:rsidRPr="00B17AA0">
        <w:rPr>
          <w:rFonts w:ascii="Times New Roman" w:hAnsi="Times New Roman"/>
          <w:b/>
          <w:sz w:val="24"/>
          <w:szCs w:val="24"/>
        </w:rPr>
        <w:t xml:space="preserve">Bazat për Refuzimin e Dhënies së Opinionit </w:t>
      </w:r>
    </w:p>
    <w:p w:rsidR="00586B49" w:rsidRPr="00B17AA0" w:rsidRDefault="00AB5C5C" w:rsidP="00AF4942">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t>Pasqyrat financiare janë përgatitur duke supozuar se shoqëria do të vazhdojë në vijimësi. Siç është përshkruar në shënimin 4.2 të pasqyrave fnanciare, humbjet e mëdha që ka pësuar shoqëria në vite dhe defiçiti i ndjeshëm në kapitalin neto konfirmojnë situatën e vështirë financiare të saj dhe faktin pse shoqëria është vendosur nën administrim 100% nga qeveria. Pasqyrat financiare të shoqërisë për vitin që mbyllet më 31 dhjetor 2014 raportojnë një humbje neto prej 4,510,485 mijë lekësh dhe një kapital negativ prej 71,248,356 mijë lekësh. Ne jemi në dijeni se në fund të tetorit 2014, Qeveria shpalli platformën për Rimëkëmbjen e sistemit energjitik (</w:t>
      </w:r>
      <w:r w:rsidRPr="00B17AA0">
        <w:rPr>
          <w:rFonts w:ascii="Times New Roman" w:hAnsi="Times New Roman" w:cs="Times New Roman"/>
          <w:i/>
          <w:sz w:val="24"/>
          <w:szCs w:val="24"/>
        </w:rPr>
        <w:t>materializuar në dokumentin e 25 shkurtit 2015 “Plani i Rimëkëmbjes Financiare të Sektorit të Energjisë”</w:t>
      </w:r>
      <w:r w:rsidRPr="00B17AA0">
        <w:rPr>
          <w:rFonts w:ascii="Times New Roman" w:hAnsi="Times New Roman" w:cs="Times New Roman"/>
          <w:sz w:val="24"/>
          <w:szCs w:val="24"/>
        </w:rPr>
        <w:t xml:space="preserve">), me objektiva të detajuara, në veçanti për OSHEE sh.a. me synim uljen e humbjeve teknike e jo teknike dhe </w:t>
      </w:r>
      <w:r w:rsidRPr="00B17AA0">
        <w:rPr>
          <w:rFonts w:ascii="Times New Roman" w:hAnsi="Times New Roman" w:cs="Times New Roman"/>
          <w:sz w:val="24"/>
          <w:szCs w:val="24"/>
        </w:rPr>
        <w:lastRenderedPageBreak/>
        <w:t>rritjen e arkëtimeve, duke angazhuar ministritë e linjës dhe institucione 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tjera shtetërore për arritjen e objektivave.  Shoqëria  ka përgatitur një vlerësim të hollësishëm të vijimësisë duke paraqitur angazhime dhe masat ndërinstitucionale të mbikqyrura nga Qeveria në përmirësimin e situatës ekonomike e financiare ku në këtë dokument  prezantohet përmirësimi i kapitalit të vet nga  defiçiti prej -71 miliard leke në -43 miliard lekë në vitin 2019, duke siguruar vijimësinë e aktivitetit të Shoqërisë. </w:t>
      </w:r>
    </w:p>
    <w:p w:rsidR="00586B49" w:rsidRPr="00B17AA0" w:rsidRDefault="00AB5C5C" w:rsidP="00E76354">
      <w:pPr>
        <w:pStyle w:val="ListParagraph1"/>
        <w:ind w:left="360"/>
        <w:jc w:val="both"/>
        <w:rPr>
          <w:rFonts w:ascii="Times New Roman" w:hAnsi="Times New Roman" w:cs="Times New Roman"/>
          <w:sz w:val="24"/>
          <w:szCs w:val="24"/>
        </w:rPr>
      </w:pPr>
      <w:r w:rsidRPr="00B17AA0">
        <w:rPr>
          <w:rFonts w:ascii="Times New Roman" w:hAnsi="Times New Roman" w:cs="Times New Roman"/>
          <w:sz w:val="24"/>
          <w:szCs w:val="24"/>
        </w:rPr>
        <w:t>Ne jemi n</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dijeni referuar pikes 4.2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 nj</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rmir</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sim 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rformormac</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s financiare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r vitin  janar – prill 2015 por kjo </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sht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bind</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se n</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se për të paktën 2 deri në 3 vjet radhazi  b</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h</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t materalizimi i këtij  plani rimëkëmbje energjitike</w:t>
      </w:r>
      <w:r w:rsidR="009A4398" w:rsidRPr="00B17AA0">
        <w:rPr>
          <w:rFonts w:ascii="Times New Roman" w:hAnsi="Times New Roman" w:cs="Times New Roman"/>
          <w:sz w:val="24"/>
          <w:szCs w:val="24"/>
        </w:rPr>
        <w:t>,</w:t>
      </w:r>
      <w:r w:rsidRPr="00B17AA0">
        <w:rPr>
          <w:rFonts w:ascii="Times New Roman" w:hAnsi="Times New Roman" w:cs="Times New Roman"/>
          <w:sz w:val="24"/>
          <w:szCs w:val="24"/>
        </w:rPr>
        <w:t xml:space="preserve"> në vecanti për OSHEE sh.a.</w:t>
      </w:r>
    </w:p>
    <w:p w:rsidR="00586B49" w:rsidRDefault="00AB5C5C" w:rsidP="00E76354">
      <w:pPr>
        <w:pStyle w:val="ListParagraph1"/>
        <w:ind w:left="360"/>
        <w:jc w:val="both"/>
        <w:rPr>
          <w:rFonts w:ascii="Times New Roman" w:hAnsi="Times New Roman" w:cs="Times New Roman"/>
          <w:sz w:val="24"/>
          <w:szCs w:val="24"/>
        </w:rPr>
      </w:pPr>
      <w:r w:rsidRPr="00B17AA0">
        <w:rPr>
          <w:rFonts w:ascii="Times New Roman" w:hAnsi="Times New Roman" w:cs="Times New Roman"/>
          <w:sz w:val="24"/>
          <w:szCs w:val="24"/>
        </w:rPr>
        <w:t>Rrjedhimisht, ekzistenca e pasigurisë në lidhje me vijimësinë mund të çojë në ndryshime të vlerësimeve financiare që mund të impaktonin materialisht pasqyrat financiare</w:t>
      </w:r>
      <w:r w:rsidR="00E76354" w:rsidRPr="00B17AA0">
        <w:rPr>
          <w:rFonts w:ascii="Times New Roman" w:hAnsi="Times New Roman" w:cs="Times New Roman"/>
          <w:sz w:val="24"/>
          <w:szCs w:val="24"/>
        </w:rPr>
        <w:t>.</w:t>
      </w:r>
      <w:r w:rsidRPr="00B17AA0">
        <w:rPr>
          <w:rFonts w:ascii="Times New Roman" w:hAnsi="Times New Roman" w:cs="Times New Roman"/>
          <w:sz w:val="24"/>
          <w:szCs w:val="24"/>
        </w:rPr>
        <w:t xml:space="preserve"> </w:t>
      </w:r>
    </w:p>
    <w:p w:rsidR="00D213A1" w:rsidRPr="00B17AA0" w:rsidRDefault="00D213A1" w:rsidP="00E76354">
      <w:pPr>
        <w:pStyle w:val="ListParagraph1"/>
        <w:ind w:left="360"/>
        <w:jc w:val="both"/>
        <w:rPr>
          <w:rFonts w:ascii="Times New Roman" w:hAnsi="Times New Roman" w:cs="Times New Roman"/>
          <w:sz w:val="24"/>
          <w:szCs w:val="24"/>
        </w:rPr>
      </w:pPr>
    </w:p>
    <w:p w:rsidR="00586B49" w:rsidRDefault="00AB5C5C" w:rsidP="006C6807">
      <w:pPr>
        <w:pStyle w:val="ListParagraph1"/>
        <w:numPr>
          <w:ilvl w:val="0"/>
          <w:numId w:val="1"/>
        </w:numPr>
        <w:shd w:val="clear" w:color="auto" w:fill="FFFFFF"/>
        <w:jc w:val="both"/>
        <w:rPr>
          <w:rFonts w:ascii="Times New Roman" w:hAnsi="Times New Roman" w:cs="Times New Roman"/>
          <w:sz w:val="24"/>
          <w:szCs w:val="24"/>
        </w:rPr>
      </w:pPr>
      <w:r w:rsidRPr="00B17AA0">
        <w:rPr>
          <w:rFonts w:ascii="Times New Roman" w:hAnsi="Times New Roman" w:cs="Times New Roman"/>
          <w:sz w:val="24"/>
          <w:szCs w:val="24"/>
        </w:rPr>
        <w:t>Pasqyrat Financiare për vitin që mbyllet më 31 dhjeto</w:t>
      </w:r>
      <w:r w:rsidR="00993A67" w:rsidRPr="00B17AA0">
        <w:rPr>
          <w:rFonts w:ascii="Times New Roman" w:hAnsi="Times New Roman" w:cs="Times New Roman"/>
          <w:sz w:val="24"/>
          <w:szCs w:val="24"/>
        </w:rPr>
        <w:t>r 2012 të audituara nga Ernst &amp;</w:t>
      </w:r>
      <w:r w:rsidRPr="00B17AA0">
        <w:rPr>
          <w:rFonts w:ascii="Times New Roman" w:hAnsi="Times New Roman" w:cs="Times New Roman"/>
          <w:sz w:val="24"/>
          <w:szCs w:val="24"/>
        </w:rPr>
        <w:t>Young  dhe për vitin që mbyllet më 31 dhjetor 2013 të audituara nga BDO sh.p.k nuk janë miratuar nga  MZHETTS.</w:t>
      </w:r>
      <w:r w:rsidR="009A4398" w:rsidRPr="00B17AA0">
        <w:rPr>
          <w:rFonts w:ascii="Times New Roman" w:hAnsi="Times New Roman" w:cs="Times New Roman"/>
          <w:sz w:val="24"/>
          <w:szCs w:val="24"/>
        </w:rPr>
        <w:t xml:space="preserve">Duke </w:t>
      </w:r>
      <w:r w:rsidRPr="00B17AA0">
        <w:rPr>
          <w:rFonts w:ascii="Times New Roman" w:hAnsi="Times New Roman" w:cs="Times New Roman"/>
          <w:sz w:val="24"/>
          <w:szCs w:val="24"/>
        </w:rPr>
        <w:t xml:space="preserve">qënëse balancat e hapjes dhe efektet e mundshme të </w:t>
      </w:r>
      <w:r w:rsidR="009A4398" w:rsidRPr="00B17AA0">
        <w:rPr>
          <w:rFonts w:ascii="Times New Roman" w:hAnsi="Times New Roman" w:cs="Times New Roman"/>
          <w:sz w:val="24"/>
          <w:szCs w:val="24"/>
        </w:rPr>
        <w:t xml:space="preserve">tyre </w:t>
      </w:r>
      <w:r w:rsidRPr="00B17AA0">
        <w:rPr>
          <w:rFonts w:ascii="Times New Roman" w:hAnsi="Times New Roman" w:cs="Times New Roman"/>
          <w:sz w:val="24"/>
          <w:szCs w:val="24"/>
        </w:rPr>
        <w:t>janë përcaktuese edhe për par</w:t>
      </w:r>
      <w:r w:rsidR="009A4398" w:rsidRPr="00B17AA0">
        <w:rPr>
          <w:rFonts w:ascii="Times New Roman" w:hAnsi="Times New Roman" w:cs="Times New Roman"/>
          <w:sz w:val="24"/>
          <w:szCs w:val="24"/>
        </w:rPr>
        <w:t>aqitjen e sakte t</w:t>
      </w:r>
      <w:r w:rsidR="007C507D" w:rsidRPr="00B17AA0">
        <w:rPr>
          <w:rFonts w:ascii="Times New Roman" w:hAnsi="Times New Roman" w:cs="Times New Roman"/>
          <w:sz w:val="24"/>
          <w:szCs w:val="24"/>
        </w:rPr>
        <w:t>ë</w:t>
      </w:r>
      <w:r w:rsidR="009A4398" w:rsidRPr="00B17AA0">
        <w:rPr>
          <w:rFonts w:ascii="Times New Roman" w:hAnsi="Times New Roman" w:cs="Times New Roman"/>
          <w:sz w:val="24"/>
          <w:szCs w:val="24"/>
        </w:rPr>
        <w:t xml:space="preserve"> pasqyrave fi</w:t>
      </w:r>
      <w:r w:rsidRPr="00B17AA0">
        <w:rPr>
          <w:rFonts w:ascii="Times New Roman" w:hAnsi="Times New Roman" w:cs="Times New Roman"/>
          <w:sz w:val="24"/>
          <w:szCs w:val="24"/>
        </w:rPr>
        <w:t>nanciare dhe shenimeve te tyre</w:t>
      </w:r>
      <w:r w:rsidR="009A4398" w:rsidRPr="00B17AA0">
        <w:rPr>
          <w:rFonts w:ascii="Times New Roman" w:hAnsi="Times New Roman" w:cs="Times New Roman"/>
          <w:sz w:val="24"/>
          <w:szCs w:val="24"/>
        </w:rPr>
        <w:t xml:space="preserve"> t</w:t>
      </w:r>
      <w:r w:rsidR="00993A67" w:rsidRPr="00B17AA0">
        <w:rPr>
          <w:rFonts w:ascii="Times New Roman" w:hAnsi="Times New Roman" w:cs="Times New Roman"/>
          <w:sz w:val="24"/>
          <w:szCs w:val="24"/>
        </w:rPr>
        <w:t>ë</w:t>
      </w:r>
      <w:r w:rsidR="009A4398" w:rsidRPr="00B17AA0">
        <w:rPr>
          <w:rFonts w:ascii="Times New Roman" w:hAnsi="Times New Roman" w:cs="Times New Roman"/>
          <w:sz w:val="24"/>
          <w:szCs w:val="24"/>
        </w:rPr>
        <w:t xml:space="preserve"> vitit 2014, ne</w:t>
      </w:r>
      <w:r w:rsidRPr="00B17AA0">
        <w:rPr>
          <w:rFonts w:ascii="Times New Roman" w:hAnsi="Times New Roman" w:cs="Times New Roman"/>
          <w:sz w:val="24"/>
          <w:szCs w:val="24"/>
        </w:rPr>
        <w:t xml:space="preserve"> nuk jemi në gjendje për të shprehur një opinion mbi Pasqyrat Financiare për vitin 2014</w:t>
      </w:r>
      <w:r w:rsidR="009A4398" w:rsidRPr="00B17AA0">
        <w:rPr>
          <w:rFonts w:ascii="Times New Roman" w:hAnsi="Times New Roman" w:cs="Times New Roman"/>
          <w:sz w:val="24"/>
          <w:szCs w:val="24"/>
        </w:rPr>
        <w:t xml:space="preserve"> </w:t>
      </w:r>
      <w:r w:rsidR="00024901" w:rsidRPr="00B17AA0">
        <w:rPr>
          <w:rFonts w:ascii="Times New Roman" w:hAnsi="Times New Roman" w:cs="Times New Roman"/>
          <w:sz w:val="24"/>
          <w:szCs w:val="24"/>
        </w:rPr>
        <w:t>p</w:t>
      </w:r>
      <w:r w:rsidR="00993A67" w:rsidRPr="00B17AA0">
        <w:rPr>
          <w:rFonts w:ascii="Times New Roman" w:hAnsi="Times New Roman" w:cs="Times New Roman"/>
          <w:sz w:val="24"/>
          <w:szCs w:val="24"/>
        </w:rPr>
        <w:t>ë</w:t>
      </w:r>
      <w:r w:rsidR="00024901" w:rsidRPr="00B17AA0">
        <w:rPr>
          <w:rFonts w:ascii="Times New Roman" w:hAnsi="Times New Roman" w:cs="Times New Roman"/>
          <w:sz w:val="24"/>
          <w:szCs w:val="24"/>
        </w:rPr>
        <w:t>rsa i p</w:t>
      </w:r>
      <w:r w:rsidR="00993A67" w:rsidRPr="00B17AA0">
        <w:rPr>
          <w:rFonts w:ascii="Times New Roman" w:hAnsi="Times New Roman" w:cs="Times New Roman"/>
          <w:sz w:val="24"/>
          <w:szCs w:val="24"/>
        </w:rPr>
        <w:t>ë</w:t>
      </w:r>
      <w:r w:rsidR="00024901" w:rsidRPr="00B17AA0">
        <w:rPr>
          <w:rFonts w:ascii="Times New Roman" w:hAnsi="Times New Roman" w:cs="Times New Roman"/>
          <w:sz w:val="24"/>
          <w:szCs w:val="24"/>
        </w:rPr>
        <w:t xml:space="preserve">rket </w:t>
      </w:r>
      <w:r w:rsidR="009A4398" w:rsidRPr="00B17AA0">
        <w:rPr>
          <w:rFonts w:ascii="Times New Roman" w:hAnsi="Times New Roman" w:cs="Times New Roman"/>
          <w:sz w:val="24"/>
          <w:szCs w:val="24"/>
        </w:rPr>
        <w:t>ç</w:t>
      </w:r>
      <w:r w:rsidR="00024901" w:rsidRPr="00B17AA0">
        <w:rPr>
          <w:rFonts w:ascii="Times New Roman" w:hAnsi="Times New Roman" w:cs="Times New Roman"/>
          <w:sz w:val="24"/>
          <w:szCs w:val="24"/>
        </w:rPr>
        <w:t>eljeve t</w:t>
      </w:r>
      <w:r w:rsidR="00993A67" w:rsidRPr="00B17AA0">
        <w:rPr>
          <w:rFonts w:ascii="Times New Roman" w:hAnsi="Times New Roman" w:cs="Times New Roman"/>
          <w:sz w:val="24"/>
          <w:szCs w:val="24"/>
        </w:rPr>
        <w:t>ë</w:t>
      </w:r>
      <w:r w:rsidR="00024901" w:rsidRPr="00B17AA0">
        <w:rPr>
          <w:rFonts w:ascii="Times New Roman" w:hAnsi="Times New Roman" w:cs="Times New Roman"/>
          <w:sz w:val="24"/>
          <w:szCs w:val="24"/>
        </w:rPr>
        <w:t xml:space="preserve"> llogarive </w:t>
      </w:r>
      <w:r w:rsidRPr="00B17AA0">
        <w:rPr>
          <w:rFonts w:ascii="Times New Roman" w:hAnsi="Times New Roman" w:cs="Times New Roman"/>
          <w:sz w:val="24"/>
          <w:szCs w:val="24"/>
        </w:rPr>
        <w:t xml:space="preserve"> ose për ndonjë të dhënë financiare krahasuese të vitit 2013.Nje opinion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rfundimtar me 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qart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 k</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t</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pik</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do t</w:t>
      </w:r>
      <w:r w:rsidR="009A4398" w:rsidRPr="00B17AA0">
        <w:rPr>
          <w:rFonts w:ascii="Times New Roman" w:hAnsi="Times New Roman" w:cs="Times New Roman"/>
          <w:sz w:val="24"/>
          <w:szCs w:val="24"/>
        </w:rPr>
        <w:t xml:space="preserve">ë dalë </w:t>
      </w:r>
      <w:r w:rsidRPr="00B17AA0">
        <w:rPr>
          <w:rFonts w:ascii="Times New Roman" w:hAnsi="Times New Roman" w:cs="Times New Roman"/>
          <w:sz w:val="24"/>
          <w:szCs w:val="24"/>
        </w:rPr>
        <w:t>n</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 xml:space="preserve"> raportin p</w:t>
      </w:r>
      <w:r w:rsidR="009A4398" w:rsidRPr="00B17AA0">
        <w:rPr>
          <w:rFonts w:ascii="Times New Roman" w:hAnsi="Times New Roman" w:cs="Times New Roman"/>
          <w:sz w:val="24"/>
          <w:szCs w:val="24"/>
        </w:rPr>
        <w:t>ë</w:t>
      </w:r>
      <w:r w:rsidRPr="00B17AA0">
        <w:rPr>
          <w:rFonts w:ascii="Times New Roman" w:hAnsi="Times New Roman" w:cs="Times New Roman"/>
          <w:sz w:val="24"/>
          <w:szCs w:val="24"/>
        </w:rPr>
        <w:t>rfundimtar 2011-2014.</w:t>
      </w:r>
    </w:p>
    <w:p w:rsidR="00D213A1" w:rsidRPr="00B17AA0" w:rsidRDefault="00D213A1" w:rsidP="00D213A1">
      <w:pPr>
        <w:pStyle w:val="ListParagraph1"/>
        <w:shd w:val="clear" w:color="auto" w:fill="FFFFFF"/>
        <w:ind w:left="360"/>
        <w:jc w:val="both"/>
        <w:rPr>
          <w:rFonts w:ascii="Times New Roman" w:hAnsi="Times New Roman" w:cs="Times New Roman"/>
          <w:sz w:val="24"/>
          <w:szCs w:val="24"/>
        </w:rPr>
      </w:pPr>
    </w:p>
    <w:p w:rsidR="00586B49" w:rsidRDefault="00AB5C5C" w:rsidP="006C6807">
      <w:pPr>
        <w:pStyle w:val="ListParagraph1"/>
        <w:numPr>
          <w:ilvl w:val="0"/>
          <w:numId w:val="1"/>
        </w:numPr>
        <w:shd w:val="clear" w:color="auto" w:fill="FFFFFF"/>
        <w:jc w:val="both"/>
        <w:rPr>
          <w:rStyle w:val="longtext1"/>
          <w:rFonts w:ascii="Times New Roman" w:hAnsi="Times New Roman" w:cs="Times New Roman"/>
          <w:sz w:val="24"/>
          <w:szCs w:val="24"/>
        </w:rPr>
      </w:pPr>
      <w:r w:rsidRPr="00B17AA0">
        <w:rPr>
          <w:rFonts w:ascii="Times New Roman" w:hAnsi="Times New Roman" w:cs="Times New Roman"/>
          <w:sz w:val="24"/>
          <w:szCs w:val="24"/>
          <w:shd w:val="clear" w:color="auto" w:fill="FFFFFF"/>
        </w:rPr>
        <w:t xml:space="preserve">Në </w:t>
      </w:r>
      <w:r w:rsidR="00685DDB" w:rsidRPr="00B17AA0">
        <w:rPr>
          <w:rFonts w:ascii="Times New Roman" w:hAnsi="Times New Roman" w:cs="Times New Roman"/>
          <w:sz w:val="24"/>
          <w:szCs w:val="24"/>
          <w:shd w:val="clear" w:color="auto" w:fill="FFFFFF"/>
        </w:rPr>
        <w:t>P</w:t>
      </w:r>
      <w:r w:rsidRPr="00B17AA0">
        <w:rPr>
          <w:rFonts w:ascii="Times New Roman" w:hAnsi="Times New Roman" w:cs="Times New Roman"/>
          <w:sz w:val="24"/>
          <w:szCs w:val="24"/>
          <w:shd w:val="clear" w:color="auto" w:fill="FFFFFF"/>
        </w:rPr>
        <w:t xml:space="preserve">asqyrat </w:t>
      </w:r>
      <w:r w:rsidR="00685DDB" w:rsidRPr="00B17AA0">
        <w:rPr>
          <w:rFonts w:ascii="Times New Roman" w:hAnsi="Times New Roman" w:cs="Times New Roman"/>
          <w:sz w:val="24"/>
          <w:szCs w:val="24"/>
          <w:shd w:val="clear" w:color="auto" w:fill="FFFFFF"/>
        </w:rPr>
        <w:t>F</w:t>
      </w:r>
      <w:r w:rsidRPr="00B17AA0">
        <w:rPr>
          <w:rFonts w:ascii="Times New Roman" w:hAnsi="Times New Roman" w:cs="Times New Roman"/>
          <w:sz w:val="24"/>
          <w:szCs w:val="24"/>
          <w:shd w:val="clear" w:color="auto" w:fill="FFFFFF"/>
        </w:rPr>
        <w:t>inanciare të shoqërisë ekziston një mospërputhje e llogarive të arkëtueshme midis sistemit faturimit</w:t>
      </w:r>
      <w:r w:rsidR="009920F4" w:rsidRPr="00B17AA0">
        <w:rPr>
          <w:rFonts w:ascii="Times New Roman" w:hAnsi="Times New Roman" w:cs="Times New Roman"/>
          <w:sz w:val="24"/>
          <w:szCs w:val="24"/>
          <w:shd w:val="clear" w:color="auto" w:fill="FFFFFF"/>
        </w:rPr>
        <w:t>&amp;ark</w:t>
      </w:r>
      <w:r w:rsidR="009920F4" w:rsidRPr="00B17AA0">
        <w:rPr>
          <w:rFonts w:ascii="Times New Roman" w:hAnsi="Times New Roman" w:cs="Times New Roman"/>
          <w:sz w:val="24"/>
          <w:szCs w:val="24"/>
        </w:rPr>
        <w:t>ë</w:t>
      </w:r>
      <w:r w:rsidR="009920F4" w:rsidRPr="00B17AA0">
        <w:rPr>
          <w:rFonts w:ascii="Times New Roman" w:hAnsi="Times New Roman" w:cs="Times New Roman"/>
          <w:sz w:val="24"/>
          <w:szCs w:val="24"/>
          <w:shd w:val="clear" w:color="auto" w:fill="FFFFFF"/>
        </w:rPr>
        <w:t xml:space="preserve">timit </w:t>
      </w:r>
      <w:r w:rsidRPr="00B17AA0">
        <w:rPr>
          <w:rFonts w:ascii="Times New Roman" w:hAnsi="Times New Roman" w:cs="Times New Roman"/>
          <w:sz w:val="24"/>
          <w:szCs w:val="24"/>
        </w:rPr>
        <w:t xml:space="preserve">(billing-ut) dhe të </w:t>
      </w:r>
      <w:r w:rsidR="00FB5398" w:rsidRPr="00B17AA0">
        <w:rPr>
          <w:rFonts w:ascii="Times New Roman" w:hAnsi="Times New Roman" w:cs="Times New Roman"/>
          <w:sz w:val="24"/>
          <w:szCs w:val="24"/>
        </w:rPr>
        <w:t>pozicionit financiare</w:t>
      </w:r>
      <w:r w:rsidR="00685DDB" w:rsidRPr="00B17AA0">
        <w:rPr>
          <w:rFonts w:ascii="Times New Roman" w:hAnsi="Times New Roman" w:cs="Times New Roman"/>
          <w:sz w:val="24"/>
          <w:szCs w:val="24"/>
        </w:rPr>
        <w:t xml:space="preserve"> </w:t>
      </w:r>
      <w:r w:rsidR="00FB5398" w:rsidRPr="00B17AA0">
        <w:rPr>
          <w:rFonts w:ascii="Times New Roman" w:hAnsi="Times New Roman" w:cs="Times New Roman"/>
          <w:sz w:val="24"/>
          <w:szCs w:val="24"/>
        </w:rPr>
        <w:t>"Të arkëtueshme" (</w:t>
      </w:r>
      <w:r w:rsidRPr="00B17AA0">
        <w:rPr>
          <w:rFonts w:ascii="Times New Roman" w:hAnsi="Times New Roman" w:cs="Times New Roman"/>
          <w:sz w:val="24"/>
          <w:szCs w:val="24"/>
        </w:rPr>
        <w:t>kontabiliteti</w:t>
      </w:r>
      <w:r w:rsidR="00FB5398" w:rsidRPr="00B17AA0">
        <w:rPr>
          <w:rFonts w:ascii="Times New Roman" w:hAnsi="Times New Roman" w:cs="Times New Roman"/>
          <w:sz w:val="24"/>
          <w:szCs w:val="24"/>
        </w:rPr>
        <w:t>)</w:t>
      </w:r>
      <w:r w:rsidR="009920F4" w:rsidRPr="00B17AA0">
        <w:rPr>
          <w:rFonts w:ascii="Times New Roman" w:hAnsi="Times New Roman" w:cs="Times New Roman"/>
          <w:sz w:val="24"/>
          <w:szCs w:val="24"/>
        </w:rPr>
        <w:t xml:space="preserve"> </w:t>
      </w:r>
      <w:r w:rsidRPr="00B17AA0">
        <w:rPr>
          <w:rFonts w:ascii="Times New Roman" w:hAnsi="Times New Roman" w:cs="Times New Roman"/>
          <w:sz w:val="24"/>
          <w:szCs w:val="24"/>
        </w:rPr>
        <w:t>për gjëndjen e klientëve më 31 dhjetor 2014 (</w:t>
      </w:r>
      <w:r w:rsidRPr="00B17AA0">
        <w:rPr>
          <w:rFonts w:ascii="Times New Roman" w:hAnsi="Times New Roman" w:cs="Times New Roman"/>
          <w:i/>
          <w:sz w:val="24"/>
          <w:szCs w:val="24"/>
        </w:rPr>
        <w:t>faturat e papaguara nga abonentët për energjinë elektrike</w:t>
      </w:r>
      <w:r w:rsidR="00024901" w:rsidRPr="00B17AA0">
        <w:rPr>
          <w:rFonts w:ascii="Times New Roman" w:hAnsi="Times New Roman" w:cs="Times New Roman"/>
          <w:sz w:val="24"/>
          <w:szCs w:val="24"/>
        </w:rPr>
        <w:t>).</w:t>
      </w:r>
      <w:r w:rsidR="00024901" w:rsidRPr="00B17AA0">
        <w:rPr>
          <w:rFonts w:ascii="Times New Roman" w:hAnsi="Times New Roman" w:cs="Times New Roman"/>
          <w:sz w:val="24"/>
          <w:szCs w:val="24"/>
          <w:lang w:val="it-IT"/>
        </w:rPr>
        <w:t xml:space="preserve">Manaxhimi është në dijeni të këtyre mospërputhjeve pasi diferenca kanë rezultuar </w:t>
      </w:r>
      <w:r w:rsidR="0061451A" w:rsidRPr="00B17AA0">
        <w:rPr>
          <w:rFonts w:ascii="Times New Roman" w:hAnsi="Times New Roman" w:cs="Times New Roman"/>
          <w:sz w:val="24"/>
          <w:szCs w:val="24"/>
          <w:lang w:val="it-IT"/>
        </w:rPr>
        <w:t>edhe në</w:t>
      </w:r>
      <w:r w:rsidR="00685DDB" w:rsidRPr="00B17AA0">
        <w:rPr>
          <w:rFonts w:ascii="Times New Roman" w:hAnsi="Times New Roman" w:cs="Times New Roman"/>
          <w:sz w:val="24"/>
          <w:szCs w:val="24"/>
          <w:lang w:val="it-IT"/>
        </w:rPr>
        <w:t xml:space="preserve"> periudhat e mëparshme</w:t>
      </w:r>
      <w:r w:rsidR="0061451A" w:rsidRPr="00B17AA0">
        <w:rPr>
          <w:rFonts w:ascii="Times New Roman" w:hAnsi="Times New Roman" w:cs="Times New Roman"/>
          <w:sz w:val="24"/>
          <w:szCs w:val="24"/>
          <w:lang w:val="it-IT"/>
        </w:rPr>
        <w:t xml:space="preserve"> si </w:t>
      </w:r>
      <w:r w:rsidR="00024901" w:rsidRPr="00B17AA0">
        <w:rPr>
          <w:rFonts w:ascii="Times New Roman" w:hAnsi="Times New Roman" w:cs="Times New Roman"/>
          <w:sz w:val="24"/>
          <w:szCs w:val="24"/>
          <w:lang w:val="it-IT"/>
        </w:rPr>
        <w:t>dhe gjat</w:t>
      </w:r>
      <w:r w:rsidR="006E5733" w:rsidRPr="00B17AA0">
        <w:rPr>
          <w:rFonts w:ascii="Times New Roman" w:hAnsi="Times New Roman" w:cs="Times New Roman"/>
          <w:sz w:val="24"/>
          <w:szCs w:val="24"/>
        </w:rPr>
        <w:t>ë</w:t>
      </w:r>
      <w:r w:rsidR="00024901" w:rsidRPr="00B17AA0">
        <w:rPr>
          <w:rFonts w:ascii="Times New Roman" w:hAnsi="Times New Roman" w:cs="Times New Roman"/>
          <w:sz w:val="24"/>
          <w:szCs w:val="24"/>
          <w:lang w:val="it-IT"/>
        </w:rPr>
        <w:t xml:space="preserve"> vitit 2014</w:t>
      </w:r>
      <w:r w:rsidR="0061451A" w:rsidRPr="00B17AA0">
        <w:rPr>
          <w:rFonts w:ascii="Times New Roman" w:hAnsi="Times New Roman" w:cs="Times New Roman"/>
          <w:sz w:val="24"/>
          <w:szCs w:val="24"/>
          <w:lang w:val="it-IT"/>
        </w:rPr>
        <w:t>.Shoqëria gjatë vitit 2014</w:t>
      </w:r>
      <w:r w:rsidR="006E5733" w:rsidRPr="00B17AA0">
        <w:rPr>
          <w:rFonts w:ascii="Times New Roman" w:hAnsi="Times New Roman" w:cs="Times New Roman"/>
          <w:sz w:val="24"/>
          <w:szCs w:val="24"/>
          <w:lang w:val="it-IT"/>
        </w:rPr>
        <w:t xml:space="preserve"> </w:t>
      </w:r>
      <w:r w:rsidR="00685DDB" w:rsidRPr="00B17AA0">
        <w:rPr>
          <w:rFonts w:ascii="Times New Roman" w:hAnsi="Times New Roman" w:cs="Times New Roman"/>
          <w:sz w:val="24"/>
          <w:szCs w:val="24"/>
          <w:lang w:val="it-IT"/>
        </w:rPr>
        <w:t xml:space="preserve">nuk </w:t>
      </w:r>
      <w:r w:rsidR="0061451A" w:rsidRPr="00B17AA0">
        <w:rPr>
          <w:rFonts w:ascii="Times New Roman" w:hAnsi="Times New Roman" w:cs="Times New Roman"/>
          <w:sz w:val="24"/>
          <w:szCs w:val="24"/>
          <w:lang w:val="it-IT"/>
        </w:rPr>
        <w:t xml:space="preserve">ka </w:t>
      </w:r>
      <w:r w:rsidR="00024901" w:rsidRPr="00B17AA0">
        <w:rPr>
          <w:rFonts w:ascii="Times New Roman" w:hAnsi="Times New Roman" w:cs="Times New Roman"/>
          <w:sz w:val="24"/>
          <w:szCs w:val="24"/>
          <w:lang w:val="it-IT"/>
        </w:rPr>
        <w:t>b</w:t>
      </w:r>
      <w:r w:rsidR="00FB5398" w:rsidRPr="00B17AA0">
        <w:rPr>
          <w:rFonts w:ascii="Times New Roman" w:hAnsi="Times New Roman" w:cs="Times New Roman"/>
          <w:sz w:val="24"/>
          <w:szCs w:val="24"/>
        </w:rPr>
        <w:t>ë</w:t>
      </w:r>
      <w:r w:rsidR="00024901" w:rsidRPr="00B17AA0">
        <w:rPr>
          <w:rFonts w:ascii="Times New Roman" w:hAnsi="Times New Roman" w:cs="Times New Roman"/>
          <w:sz w:val="24"/>
          <w:szCs w:val="24"/>
          <w:lang w:val="it-IT"/>
        </w:rPr>
        <w:t>r</w:t>
      </w:r>
      <w:r w:rsidR="00E82268" w:rsidRPr="00B17AA0">
        <w:rPr>
          <w:rFonts w:ascii="Times New Roman" w:hAnsi="Times New Roman" w:cs="Times New Roman"/>
          <w:sz w:val="24"/>
          <w:szCs w:val="24"/>
        </w:rPr>
        <w:t>ë</w:t>
      </w:r>
      <w:r w:rsidR="00024901" w:rsidRPr="00B17AA0">
        <w:rPr>
          <w:rFonts w:ascii="Times New Roman" w:hAnsi="Times New Roman" w:cs="Times New Roman"/>
          <w:sz w:val="24"/>
          <w:szCs w:val="24"/>
          <w:lang w:val="it-IT"/>
        </w:rPr>
        <w:t xml:space="preserve"> </w:t>
      </w:r>
      <w:r w:rsidR="0061451A" w:rsidRPr="00B17AA0">
        <w:rPr>
          <w:rFonts w:ascii="Times New Roman" w:hAnsi="Times New Roman" w:cs="Times New Roman"/>
          <w:sz w:val="24"/>
          <w:szCs w:val="24"/>
          <w:lang w:val="it-IT"/>
        </w:rPr>
        <w:t xml:space="preserve">të </w:t>
      </w:r>
      <w:r w:rsidR="00024901" w:rsidRPr="00B17AA0">
        <w:rPr>
          <w:rFonts w:ascii="Times New Roman" w:hAnsi="Times New Roman" w:cs="Times New Roman"/>
          <w:sz w:val="24"/>
          <w:szCs w:val="24"/>
          <w:lang w:val="it-IT"/>
        </w:rPr>
        <w:t xml:space="preserve"> mundur identifikimi plot</w:t>
      </w:r>
      <w:r w:rsidR="00E8226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sisht </w:t>
      </w:r>
      <w:r w:rsidR="0061451A" w:rsidRPr="00B17AA0">
        <w:rPr>
          <w:rFonts w:ascii="Times New Roman" w:hAnsi="Times New Roman" w:cs="Times New Roman"/>
          <w:sz w:val="24"/>
          <w:szCs w:val="24"/>
          <w:lang w:val="it-IT"/>
        </w:rPr>
        <w:t>të</w:t>
      </w:r>
      <w:r w:rsidR="00024901" w:rsidRPr="00B17AA0">
        <w:rPr>
          <w:rFonts w:ascii="Times New Roman" w:hAnsi="Times New Roman" w:cs="Times New Roman"/>
          <w:sz w:val="24"/>
          <w:szCs w:val="24"/>
          <w:lang w:val="it-IT"/>
        </w:rPr>
        <w:t xml:space="preserve"> </w:t>
      </w:r>
      <w:r w:rsidR="00456B50" w:rsidRPr="00B17AA0">
        <w:rPr>
          <w:rFonts w:ascii="Times New Roman" w:hAnsi="Times New Roman" w:cs="Times New Roman"/>
          <w:sz w:val="24"/>
          <w:szCs w:val="24"/>
          <w:lang w:val="it-IT"/>
        </w:rPr>
        <w:t>k</w:t>
      </w:r>
      <w:r w:rsidR="00E82268" w:rsidRPr="00B17AA0">
        <w:rPr>
          <w:rFonts w:ascii="Times New Roman" w:hAnsi="Times New Roman" w:cs="Times New Roman"/>
          <w:sz w:val="24"/>
          <w:szCs w:val="24"/>
          <w:lang w:val="it-IT"/>
        </w:rPr>
        <w:t>ë</w:t>
      </w:r>
      <w:r w:rsidR="00456B50" w:rsidRPr="00B17AA0">
        <w:rPr>
          <w:rFonts w:ascii="Times New Roman" w:hAnsi="Times New Roman" w:cs="Times New Roman"/>
          <w:sz w:val="24"/>
          <w:szCs w:val="24"/>
          <w:lang w:val="it-IT"/>
        </w:rPr>
        <w:t xml:space="preserve">tyre </w:t>
      </w:r>
      <w:r w:rsidR="00024901" w:rsidRPr="00B17AA0">
        <w:rPr>
          <w:rFonts w:ascii="Times New Roman" w:hAnsi="Times New Roman" w:cs="Times New Roman"/>
          <w:sz w:val="24"/>
          <w:szCs w:val="24"/>
          <w:lang w:val="it-IT"/>
        </w:rPr>
        <w:t xml:space="preserve">diferencave.Sipas </w:t>
      </w:r>
      <w:r w:rsidR="009920F4" w:rsidRPr="00B17AA0">
        <w:rPr>
          <w:rFonts w:ascii="Times New Roman" w:hAnsi="Times New Roman" w:cs="Times New Roman"/>
          <w:sz w:val="24"/>
          <w:szCs w:val="24"/>
          <w:lang w:val="it-IT"/>
        </w:rPr>
        <w:t xml:space="preserve">të dhënave të siguruara nga </w:t>
      </w:r>
      <w:r w:rsidR="00024901" w:rsidRPr="00B17AA0">
        <w:rPr>
          <w:rFonts w:ascii="Times New Roman" w:hAnsi="Times New Roman" w:cs="Times New Roman"/>
          <w:sz w:val="24"/>
          <w:szCs w:val="24"/>
          <w:lang w:val="it-IT"/>
        </w:rPr>
        <w:t xml:space="preserve">Departamentit ekonomik </w:t>
      </w:r>
      <w:r w:rsidR="009920F4" w:rsidRPr="00B17AA0">
        <w:rPr>
          <w:rFonts w:ascii="Times New Roman" w:hAnsi="Times New Roman" w:cs="Times New Roman"/>
          <w:sz w:val="24"/>
          <w:szCs w:val="24"/>
          <w:lang w:val="it-IT"/>
        </w:rPr>
        <w:t xml:space="preserve">i shoqërisë "OSHEE"sh.a </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sht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 aritur t</w:t>
      </w:r>
      <w:r w:rsidR="00FB5398" w:rsidRPr="00B17AA0">
        <w:rPr>
          <w:rFonts w:ascii="Times New Roman" w:hAnsi="Times New Roman" w:cs="Times New Roman"/>
          <w:sz w:val="24"/>
          <w:szCs w:val="24"/>
          <w:lang w:val="it-IT"/>
        </w:rPr>
        <w:t>ë</w:t>
      </w:r>
      <w:r w:rsidR="00E82268" w:rsidRPr="00B17AA0">
        <w:rPr>
          <w:rFonts w:ascii="Times New Roman" w:hAnsi="Times New Roman" w:cs="Times New Roman"/>
          <w:sz w:val="24"/>
          <w:szCs w:val="24"/>
          <w:lang w:val="it-IT"/>
        </w:rPr>
        <w:t xml:space="preserve"> kryhe</w:t>
      </w:r>
      <w:r w:rsidR="009920F4" w:rsidRPr="00B17AA0">
        <w:rPr>
          <w:rFonts w:ascii="Times New Roman" w:hAnsi="Times New Roman" w:cs="Times New Roman"/>
          <w:sz w:val="24"/>
          <w:szCs w:val="24"/>
          <w:lang w:val="it-IT"/>
        </w:rPr>
        <w:t>n</w:t>
      </w:r>
      <w:r w:rsidR="00E82268" w:rsidRPr="00B17AA0">
        <w:rPr>
          <w:rFonts w:ascii="Times New Roman" w:hAnsi="Times New Roman" w:cs="Times New Roman"/>
          <w:sz w:val="24"/>
          <w:szCs w:val="24"/>
          <w:lang w:val="it-IT"/>
        </w:rPr>
        <w:t xml:space="preserve"> a</w:t>
      </w:r>
      <w:r w:rsidR="00024901" w:rsidRPr="00B17AA0">
        <w:rPr>
          <w:rFonts w:ascii="Times New Roman" w:hAnsi="Times New Roman" w:cs="Times New Roman"/>
          <w:sz w:val="24"/>
          <w:szCs w:val="24"/>
          <w:lang w:val="it-IT"/>
        </w:rPr>
        <w:t>kt</w:t>
      </w:r>
      <w:r w:rsidR="00E82268" w:rsidRPr="00B17AA0">
        <w:rPr>
          <w:rFonts w:ascii="Times New Roman" w:hAnsi="Times New Roman" w:cs="Times New Roman"/>
          <w:sz w:val="24"/>
          <w:szCs w:val="24"/>
          <w:lang w:val="it-IT"/>
        </w:rPr>
        <w:t>-</w:t>
      </w:r>
      <w:r w:rsidR="00024901" w:rsidRPr="00B17AA0">
        <w:rPr>
          <w:rFonts w:ascii="Times New Roman" w:hAnsi="Times New Roman" w:cs="Times New Roman"/>
          <w:sz w:val="24"/>
          <w:szCs w:val="24"/>
          <w:lang w:val="it-IT"/>
        </w:rPr>
        <w:t xml:space="preserve"> rakordim</w:t>
      </w:r>
      <w:r w:rsidR="009920F4" w:rsidRPr="00B17AA0">
        <w:rPr>
          <w:rFonts w:ascii="Times New Roman" w:hAnsi="Times New Roman" w:cs="Times New Roman"/>
          <w:sz w:val="24"/>
          <w:szCs w:val="24"/>
          <w:lang w:val="it-IT"/>
        </w:rPr>
        <w:t>e</w:t>
      </w:r>
      <w:r w:rsidR="00024901" w:rsidRPr="00B17AA0">
        <w:rPr>
          <w:rFonts w:ascii="Times New Roman" w:hAnsi="Times New Roman" w:cs="Times New Roman"/>
          <w:sz w:val="24"/>
          <w:szCs w:val="24"/>
          <w:lang w:val="it-IT"/>
        </w:rPr>
        <w:t xml:space="preserve"> me 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 gjitha Filialet e Post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s</w:t>
      </w:r>
      <w:r w:rsidR="00685DDB" w:rsidRPr="00B17AA0">
        <w:rPr>
          <w:rFonts w:ascii="Times New Roman" w:hAnsi="Times New Roman" w:cs="Times New Roman"/>
          <w:sz w:val="24"/>
          <w:szCs w:val="24"/>
          <w:lang w:val="it-IT"/>
        </w:rPr>
        <w:t xml:space="preserve"> Shqiptare </w:t>
      </w:r>
      <w:r w:rsidR="00024901" w:rsidRPr="00B17AA0">
        <w:rPr>
          <w:rFonts w:ascii="Times New Roman" w:hAnsi="Times New Roman" w:cs="Times New Roman"/>
          <w:sz w:val="24"/>
          <w:szCs w:val="24"/>
          <w:lang w:val="it-IT"/>
        </w:rPr>
        <w:t>dhe</w:t>
      </w:r>
      <w:r w:rsidR="00685DDB" w:rsidRPr="00B17AA0">
        <w:rPr>
          <w:rFonts w:ascii="Times New Roman" w:hAnsi="Times New Roman" w:cs="Times New Roman"/>
          <w:sz w:val="24"/>
          <w:szCs w:val="24"/>
          <w:lang w:val="it-IT"/>
        </w:rPr>
        <w:t xml:space="preserve"> rezulton se</w:t>
      </w:r>
      <w:r w:rsidR="00024901" w:rsidRPr="00B17AA0">
        <w:rPr>
          <w:rFonts w:ascii="Times New Roman" w:hAnsi="Times New Roman" w:cs="Times New Roman"/>
          <w:sz w:val="24"/>
          <w:szCs w:val="24"/>
          <w:lang w:val="it-IT"/>
        </w:rPr>
        <w:t xml:space="preserve"> vlera e mbajtur </w:t>
      </w:r>
      <w:r w:rsidR="006C6807" w:rsidRPr="00B17AA0">
        <w:rPr>
          <w:rFonts w:ascii="Times New Roman" w:hAnsi="Times New Roman" w:cs="Times New Roman"/>
          <w:sz w:val="24"/>
          <w:szCs w:val="24"/>
          <w:lang w:val="it-IT"/>
        </w:rPr>
        <w:t xml:space="preserve"> </w:t>
      </w:r>
      <w:r w:rsidR="00024901" w:rsidRPr="00B17AA0">
        <w:rPr>
          <w:rFonts w:ascii="Times New Roman" w:hAnsi="Times New Roman" w:cs="Times New Roman"/>
          <w:sz w:val="24"/>
          <w:szCs w:val="24"/>
          <w:lang w:val="it-IT"/>
        </w:rPr>
        <w:t>me ini</w:t>
      </w:r>
      <w:r w:rsidR="00E82268" w:rsidRPr="00B17AA0">
        <w:rPr>
          <w:rFonts w:ascii="Times New Roman" w:hAnsi="Times New Roman" w:cs="Times New Roman"/>
          <w:sz w:val="24"/>
          <w:szCs w:val="24"/>
          <w:lang w:val="it-IT"/>
        </w:rPr>
        <w:t>si</w:t>
      </w:r>
      <w:r w:rsidR="00024901" w:rsidRPr="00B17AA0">
        <w:rPr>
          <w:rFonts w:ascii="Times New Roman" w:hAnsi="Times New Roman" w:cs="Times New Roman"/>
          <w:sz w:val="24"/>
          <w:szCs w:val="24"/>
          <w:lang w:val="it-IT"/>
        </w:rPr>
        <w:t>ativ</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 </w:t>
      </w:r>
      <w:r w:rsidR="00E82268" w:rsidRPr="00B17AA0">
        <w:rPr>
          <w:rFonts w:ascii="Times New Roman" w:hAnsi="Times New Roman" w:cs="Times New Roman"/>
          <w:sz w:val="24"/>
          <w:szCs w:val="24"/>
          <w:lang w:val="it-IT"/>
        </w:rPr>
        <w:t>nga Posta Shqiptare</w:t>
      </w:r>
      <w:r w:rsidR="00685DDB" w:rsidRPr="00B17AA0">
        <w:rPr>
          <w:rFonts w:ascii="Times New Roman" w:hAnsi="Times New Roman" w:cs="Times New Roman"/>
          <w:sz w:val="24"/>
          <w:szCs w:val="24"/>
          <w:lang w:val="it-IT"/>
        </w:rPr>
        <w:t xml:space="preserve"> sh.a </w:t>
      </w:r>
      <w:r w:rsidR="00E82268" w:rsidRPr="00B17AA0">
        <w:rPr>
          <w:rFonts w:ascii="Times New Roman" w:hAnsi="Times New Roman" w:cs="Times New Roman"/>
          <w:sz w:val="24"/>
          <w:szCs w:val="24"/>
          <w:lang w:val="it-IT"/>
        </w:rPr>
        <w:t xml:space="preserve"> </w:t>
      </w:r>
      <w:r w:rsidR="00024901" w:rsidRPr="00B17AA0">
        <w:rPr>
          <w:rFonts w:ascii="Times New Roman" w:hAnsi="Times New Roman" w:cs="Times New Roman"/>
          <w:sz w:val="24"/>
          <w:szCs w:val="24"/>
          <w:lang w:val="it-IT"/>
        </w:rPr>
        <w:t>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 </w:t>
      </w:r>
      <w:r w:rsidR="009920F4" w:rsidRPr="00B17AA0">
        <w:rPr>
          <w:rFonts w:ascii="Times New Roman" w:hAnsi="Times New Roman" w:cs="Times New Roman"/>
          <w:sz w:val="24"/>
          <w:szCs w:val="24"/>
          <w:lang w:val="it-IT"/>
        </w:rPr>
        <w:t>vlerave</w:t>
      </w:r>
      <w:r w:rsidR="00024901" w:rsidRPr="00B17AA0">
        <w:rPr>
          <w:rFonts w:ascii="Times New Roman" w:hAnsi="Times New Roman" w:cs="Times New Roman"/>
          <w:sz w:val="24"/>
          <w:szCs w:val="24"/>
          <w:lang w:val="it-IT"/>
        </w:rPr>
        <w:t xml:space="preserve"> 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 xml:space="preserve"> ark</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tuara nga klient</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t ar</w:t>
      </w:r>
      <w:r w:rsidR="00E82268" w:rsidRPr="00B17AA0">
        <w:rPr>
          <w:rFonts w:ascii="Times New Roman" w:hAnsi="Times New Roman" w:cs="Times New Roman"/>
          <w:sz w:val="24"/>
          <w:szCs w:val="24"/>
          <w:lang w:val="it-IT"/>
        </w:rPr>
        <w:t>r</w:t>
      </w:r>
      <w:r w:rsidR="00024901" w:rsidRPr="00B17AA0">
        <w:rPr>
          <w:rFonts w:ascii="Times New Roman" w:hAnsi="Times New Roman" w:cs="Times New Roman"/>
          <w:sz w:val="24"/>
          <w:szCs w:val="24"/>
          <w:lang w:val="it-IT"/>
        </w:rPr>
        <w:t xml:space="preserve">in </w:t>
      </w:r>
      <w:r w:rsidR="00E82268" w:rsidRPr="00B17AA0">
        <w:rPr>
          <w:rFonts w:ascii="Times New Roman" w:hAnsi="Times New Roman" w:cs="Times New Roman"/>
          <w:sz w:val="24"/>
          <w:szCs w:val="24"/>
          <w:lang w:val="it-IT"/>
        </w:rPr>
        <w:t xml:space="preserve">në </w:t>
      </w:r>
      <w:r w:rsidR="00024901" w:rsidRPr="00B17AA0">
        <w:rPr>
          <w:rFonts w:ascii="Times New Roman" w:hAnsi="Times New Roman" w:cs="Times New Roman"/>
          <w:sz w:val="24"/>
          <w:szCs w:val="24"/>
          <w:lang w:val="it-IT"/>
        </w:rPr>
        <w:t>shum</w:t>
      </w:r>
      <w:r w:rsidR="00FB5398" w:rsidRPr="00B17AA0">
        <w:rPr>
          <w:rFonts w:ascii="Times New Roman" w:hAnsi="Times New Roman" w:cs="Times New Roman"/>
          <w:sz w:val="24"/>
          <w:szCs w:val="24"/>
          <w:lang w:val="it-IT"/>
        </w:rPr>
        <w:t>ë</w:t>
      </w:r>
      <w:r w:rsidR="00024901" w:rsidRPr="00B17AA0">
        <w:rPr>
          <w:rFonts w:ascii="Times New Roman" w:hAnsi="Times New Roman" w:cs="Times New Roman"/>
          <w:sz w:val="24"/>
          <w:szCs w:val="24"/>
          <w:lang w:val="it-IT"/>
        </w:rPr>
        <w:t>n</w:t>
      </w:r>
      <w:r w:rsidR="009920F4" w:rsidRPr="00B17AA0">
        <w:rPr>
          <w:rFonts w:ascii="Times New Roman" w:hAnsi="Times New Roman" w:cs="Times New Roman"/>
          <w:sz w:val="24"/>
          <w:szCs w:val="24"/>
          <w:lang w:val="it-IT"/>
        </w:rPr>
        <w:t xml:space="preserve"> prej </w:t>
      </w:r>
      <w:r w:rsidR="00024901" w:rsidRPr="00B17AA0">
        <w:rPr>
          <w:rFonts w:ascii="Times New Roman" w:hAnsi="Times New Roman" w:cs="Times New Roman"/>
          <w:color w:val="000000"/>
          <w:sz w:val="24"/>
          <w:szCs w:val="24"/>
        </w:rPr>
        <w:t>1,029,154</w:t>
      </w:r>
      <w:r w:rsidR="00E82268" w:rsidRPr="00B17AA0">
        <w:rPr>
          <w:rFonts w:ascii="Times New Roman" w:hAnsi="Times New Roman" w:cs="Times New Roman"/>
          <w:color w:val="000000"/>
          <w:sz w:val="24"/>
          <w:szCs w:val="24"/>
        </w:rPr>
        <w:t xml:space="preserve"> mije </w:t>
      </w:r>
      <w:r w:rsidR="00024901" w:rsidRPr="00B17AA0">
        <w:rPr>
          <w:rFonts w:ascii="Times New Roman" w:hAnsi="Times New Roman" w:cs="Times New Roman"/>
          <w:color w:val="000000"/>
          <w:sz w:val="24"/>
          <w:szCs w:val="24"/>
        </w:rPr>
        <w:t>(</w:t>
      </w:r>
      <w:r w:rsidR="00024901" w:rsidRPr="00B17AA0">
        <w:rPr>
          <w:rFonts w:ascii="Times New Roman" w:hAnsi="Times New Roman" w:cs="Times New Roman"/>
          <w:i/>
          <w:color w:val="000000"/>
          <w:sz w:val="24"/>
          <w:szCs w:val="24"/>
        </w:rPr>
        <w:t>p</w:t>
      </w:r>
      <w:r w:rsidR="00FB5398" w:rsidRPr="00B17AA0">
        <w:rPr>
          <w:rFonts w:ascii="Times New Roman" w:hAnsi="Times New Roman" w:cs="Times New Roman"/>
          <w:i/>
          <w:color w:val="000000"/>
          <w:sz w:val="24"/>
          <w:szCs w:val="24"/>
        </w:rPr>
        <w:t>ë</w:t>
      </w:r>
      <w:r w:rsidR="00024901" w:rsidRPr="00B17AA0">
        <w:rPr>
          <w:rFonts w:ascii="Times New Roman" w:hAnsi="Times New Roman" w:cs="Times New Roman"/>
          <w:i/>
          <w:color w:val="000000"/>
          <w:sz w:val="24"/>
          <w:szCs w:val="24"/>
        </w:rPr>
        <w:t>r periudh</w:t>
      </w:r>
      <w:r w:rsidR="00FB5398" w:rsidRPr="00B17AA0">
        <w:rPr>
          <w:rFonts w:ascii="Times New Roman" w:hAnsi="Times New Roman" w:cs="Times New Roman"/>
          <w:i/>
          <w:color w:val="000000"/>
          <w:sz w:val="24"/>
          <w:szCs w:val="24"/>
        </w:rPr>
        <w:t>ë</w:t>
      </w:r>
      <w:r w:rsidR="0061451A" w:rsidRPr="00B17AA0">
        <w:rPr>
          <w:rFonts w:ascii="Times New Roman" w:hAnsi="Times New Roman" w:cs="Times New Roman"/>
          <w:i/>
          <w:color w:val="000000"/>
          <w:sz w:val="24"/>
          <w:szCs w:val="24"/>
        </w:rPr>
        <w:t>n 01.01.2010deri</w:t>
      </w:r>
      <w:r w:rsidR="00024901" w:rsidRPr="00B17AA0">
        <w:rPr>
          <w:rFonts w:ascii="Times New Roman" w:hAnsi="Times New Roman" w:cs="Times New Roman"/>
          <w:i/>
          <w:color w:val="000000"/>
          <w:sz w:val="24"/>
          <w:szCs w:val="24"/>
        </w:rPr>
        <w:t>31.10.2014</w:t>
      </w:r>
      <w:r w:rsidR="006C6807" w:rsidRPr="00B17AA0">
        <w:rPr>
          <w:rFonts w:ascii="Times New Roman" w:hAnsi="Times New Roman" w:cs="Times New Roman"/>
          <w:i/>
          <w:color w:val="000000"/>
          <w:sz w:val="24"/>
          <w:szCs w:val="24"/>
        </w:rPr>
        <w:t xml:space="preserve"> </w:t>
      </w:r>
      <w:r w:rsidR="00024901" w:rsidRPr="00B17AA0">
        <w:rPr>
          <w:rFonts w:ascii="Times New Roman" w:hAnsi="Times New Roman" w:cs="Times New Roman"/>
          <w:color w:val="000000"/>
          <w:sz w:val="24"/>
          <w:szCs w:val="24"/>
        </w:rPr>
        <w:t>)</w:t>
      </w:r>
      <w:r w:rsidR="006E5733" w:rsidRPr="00B17AA0">
        <w:rPr>
          <w:rFonts w:ascii="Times New Roman" w:hAnsi="Times New Roman" w:cs="Times New Roman"/>
          <w:color w:val="000000"/>
          <w:sz w:val="24"/>
          <w:szCs w:val="24"/>
        </w:rPr>
        <w:t>,</w:t>
      </w:r>
      <w:r w:rsidR="0061451A" w:rsidRPr="00B17AA0">
        <w:rPr>
          <w:rFonts w:ascii="Times New Roman" w:hAnsi="Times New Roman" w:cs="Times New Roman"/>
          <w:color w:val="000000"/>
          <w:sz w:val="24"/>
          <w:szCs w:val="24"/>
        </w:rPr>
        <w:t xml:space="preserve"> </w:t>
      </w:r>
      <w:r w:rsidR="006E5733" w:rsidRPr="00B17AA0">
        <w:rPr>
          <w:rFonts w:ascii="Times New Roman" w:hAnsi="Times New Roman" w:cs="Times New Roman"/>
          <w:color w:val="000000"/>
          <w:sz w:val="24"/>
          <w:szCs w:val="24"/>
        </w:rPr>
        <w:t>n</w:t>
      </w:r>
      <w:r w:rsidR="00685DDB" w:rsidRPr="00B17AA0">
        <w:rPr>
          <w:rFonts w:ascii="Times New Roman" w:hAnsi="Times New Roman" w:cs="Times New Roman"/>
          <w:color w:val="000000"/>
          <w:sz w:val="24"/>
          <w:szCs w:val="24"/>
        </w:rPr>
        <w:t>d</w:t>
      </w:r>
      <w:r w:rsidR="00685DDB" w:rsidRPr="00B17AA0">
        <w:rPr>
          <w:rFonts w:ascii="Times New Roman" w:hAnsi="Times New Roman" w:cs="Times New Roman"/>
          <w:sz w:val="24"/>
          <w:szCs w:val="24"/>
        </w:rPr>
        <w:t>ë</w:t>
      </w:r>
      <w:r w:rsidR="00685DDB" w:rsidRPr="00B17AA0">
        <w:rPr>
          <w:rFonts w:ascii="Times New Roman" w:hAnsi="Times New Roman" w:cs="Times New Roman"/>
          <w:color w:val="000000"/>
          <w:sz w:val="24"/>
          <w:szCs w:val="24"/>
        </w:rPr>
        <w:t xml:space="preserve">rsa </w:t>
      </w:r>
      <w:r w:rsidRPr="00B17AA0">
        <w:rPr>
          <w:rFonts w:ascii="Times New Roman" w:hAnsi="Times New Roman" w:cs="Times New Roman"/>
          <w:sz w:val="24"/>
          <w:szCs w:val="24"/>
        </w:rPr>
        <w:t xml:space="preserve">mospërputhje midis sistemit </w:t>
      </w:r>
      <w:r w:rsidR="00685DDB" w:rsidRPr="00B17AA0">
        <w:rPr>
          <w:rFonts w:ascii="Times New Roman" w:hAnsi="Times New Roman" w:cs="Times New Roman"/>
          <w:sz w:val="24"/>
          <w:szCs w:val="24"/>
        </w:rPr>
        <w:t>"billing-ut" (</w:t>
      </w:r>
      <w:r w:rsidRPr="00B17AA0">
        <w:rPr>
          <w:rFonts w:ascii="Times New Roman" w:hAnsi="Times New Roman" w:cs="Times New Roman"/>
          <w:sz w:val="24"/>
          <w:szCs w:val="24"/>
        </w:rPr>
        <w:t>faturim</w:t>
      </w:r>
      <w:r w:rsidR="00685DDB" w:rsidRPr="00B17AA0">
        <w:rPr>
          <w:rFonts w:ascii="Times New Roman" w:hAnsi="Times New Roman" w:cs="Times New Roman"/>
          <w:sz w:val="24"/>
          <w:szCs w:val="24"/>
        </w:rPr>
        <w:t>&amp;arketim)</w:t>
      </w:r>
      <w:r w:rsidRPr="00B17AA0">
        <w:rPr>
          <w:rFonts w:ascii="Times New Roman" w:hAnsi="Times New Roman" w:cs="Times New Roman"/>
          <w:sz w:val="24"/>
          <w:szCs w:val="24"/>
        </w:rPr>
        <w:t xml:space="preserve"> dhe kontabilitetit arrijnë në vlerën 1,318,805.7 mij</w:t>
      </w:r>
      <w:r w:rsidRPr="00B17AA0">
        <w:rPr>
          <w:rStyle w:val="longtext1"/>
          <w:rFonts w:ascii="Times New Roman" w:hAnsi="Times New Roman" w:cs="Times New Roman"/>
          <w:sz w:val="24"/>
          <w:szCs w:val="24"/>
        </w:rPr>
        <w:t>ë lekësh</w:t>
      </w:r>
      <w:r w:rsidR="00456B50" w:rsidRPr="00B17AA0">
        <w:rPr>
          <w:rStyle w:val="longtext1"/>
          <w:rFonts w:ascii="Times New Roman" w:hAnsi="Times New Roman" w:cs="Times New Roman"/>
          <w:sz w:val="24"/>
          <w:szCs w:val="24"/>
        </w:rPr>
        <w:t xml:space="preserve"> n</w:t>
      </w:r>
      <w:r w:rsidR="00685DDB" w:rsidRPr="00B17AA0">
        <w:rPr>
          <w:rFonts w:ascii="Times New Roman" w:hAnsi="Times New Roman" w:cs="Times New Roman"/>
          <w:sz w:val="24"/>
          <w:szCs w:val="24"/>
        </w:rPr>
        <w:t>ë</w:t>
      </w:r>
      <w:r w:rsidR="00456B50" w:rsidRPr="00B17AA0">
        <w:rPr>
          <w:rStyle w:val="longtext1"/>
          <w:rFonts w:ascii="Times New Roman" w:hAnsi="Times New Roman" w:cs="Times New Roman"/>
          <w:sz w:val="24"/>
          <w:szCs w:val="24"/>
        </w:rPr>
        <w:t xml:space="preserve"> dt</w:t>
      </w:r>
      <w:r w:rsidR="00685DDB" w:rsidRPr="00B17AA0">
        <w:rPr>
          <w:rStyle w:val="longtext1"/>
          <w:rFonts w:ascii="Times New Roman" w:hAnsi="Times New Roman" w:cs="Times New Roman"/>
          <w:sz w:val="24"/>
          <w:szCs w:val="24"/>
        </w:rPr>
        <w:t>.</w:t>
      </w:r>
      <w:r w:rsidR="00456B50" w:rsidRPr="00B17AA0">
        <w:rPr>
          <w:rStyle w:val="longtext1"/>
          <w:rFonts w:ascii="Times New Roman" w:hAnsi="Times New Roman" w:cs="Times New Roman"/>
          <w:sz w:val="24"/>
          <w:szCs w:val="24"/>
        </w:rPr>
        <w:t>31.12.2014</w:t>
      </w:r>
      <w:r w:rsidRPr="00B17AA0">
        <w:rPr>
          <w:rStyle w:val="longtext1"/>
          <w:rFonts w:ascii="Times New Roman" w:hAnsi="Times New Roman" w:cs="Times New Roman"/>
          <w:sz w:val="24"/>
          <w:szCs w:val="24"/>
        </w:rPr>
        <w:t xml:space="preserve">.Grupi i auditoreve të pavarur nuk ishte në gjendje të gjykojë sipas informacionit të vënë në dispozicion nga shoqëria edhe me metoda alternative </w:t>
      </w:r>
      <w:r w:rsidRPr="00B17AA0">
        <w:rPr>
          <w:rFonts w:ascii="Times New Roman" w:hAnsi="Times New Roman" w:cs="Times New Roman"/>
          <w:sz w:val="24"/>
          <w:szCs w:val="24"/>
        </w:rPr>
        <w:t>për të verifikuar plotësinë, ekzistencën dhe vlerësimin</w:t>
      </w:r>
      <w:r w:rsidRPr="00B17AA0">
        <w:rPr>
          <w:rStyle w:val="longtext1"/>
          <w:rFonts w:ascii="Times New Roman" w:hAnsi="Times New Roman" w:cs="Times New Roman"/>
          <w:sz w:val="24"/>
          <w:szCs w:val="24"/>
        </w:rPr>
        <w:t xml:space="preserve"> për këtë po</w:t>
      </w:r>
      <w:r w:rsidR="00685DDB" w:rsidRPr="00B17AA0">
        <w:rPr>
          <w:rStyle w:val="longtext1"/>
          <w:rFonts w:ascii="Times New Roman" w:hAnsi="Times New Roman" w:cs="Times New Roman"/>
          <w:sz w:val="24"/>
          <w:szCs w:val="24"/>
        </w:rPr>
        <w:t>z</w:t>
      </w:r>
      <w:r w:rsidRPr="00B17AA0">
        <w:rPr>
          <w:rStyle w:val="longtext1"/>
          <w:rFonts w:ascii="Times New Roman" w:hAnsi="Times New Roman" w:cs="Times New Roman"/>
          <w:sz w:val="24"/>
          <w:szCs w:val="24"/>
        </w:rPr>
        <w:t>i</w:t>
      </w:r>
      <w:r w:rsidR="00685DDB" w:rsidRPr="00B17AA0">
        <w:rPr>
          <w:rStyle w:val="longtext1"/>
          <w:rFonts w:ascii="Times New Roman" w:hAnsi="Times New Roman" w:cs="Times New Roman"/>
          <w:sz w:val="24"/>
          <w:szCs w:val="24"/>
        </w:rPr>
        <w:t xml:space="preserve">cion </w:t>
      </w:r>
      <w:r w:rsidRPr="00B17AA0">
        <w:rPr>
          <w:rStyle w:val="longtext1"/>
          <w:rFonts w:ascii="Times New Roman" w:hAnsi="Times New Roman" w:cs="Times New Roman"/>
          <w:sz w:val="24"/>
          <w:szCs w:val="24"/>
        </w:rPr>
        <w:t xml:space="preserve"> financiar </w:t>
      </w:r>
      <w:r w:rsidR="00685DDB" w:rsidRPr="00B17AA0">
        <w:rPr>
          <w:rStyle w:val="longtext1"/>
          <w:rFonts w:ascii="Times New Roman" w:hAnsi="Times New Roman" w:cs="Times New Roman"/>
          <w:sz w:val="24"/>
          <w:szCs w:val="24"/>
        </w:rPr>
        <w:t>n</w:t>
      </w:r>
      <w:r w:rsidRPr="00B17AA0">
        <w:rPr>
          <w:rStyle w:val="longtext1"/>
          <w:rFonts w:ascii="Times New Roman" w:hAnsi="Times New Roman" w:cs="Times New Roman"/>
          <w:sz w:val="24"/>
          <w:szCs w:val="24"/>
        </w:rPr>
        <w:t xml:space="preserve">ë </w:t>
      </w:r>
      <w:r w:rsidRPr="00B17AA0">
        <w:rPr>
          <w:rFonts w:ascii="Times New Roman" w:hAnsi="Times New Roman" w:cs="Times New Roman"/>
          <w:sz w:val="24"/>
          <w:szCs w:val="24"/>
        </w:rPr>
        <w:t>Pasqyrave Financiare</w:t>
      </w:r>
      <w:r w:rsidRPr="00B17AA0">
        <w:rPr>
          <w:rStyle w:val="longtext1"/>
          <w:rFonts w:ascii="Times New Roman" w:hAnsi="Times New Roman" w:cs="Times New Roman"/>
          <w:sz w:val="24"/>
          <w:szCs w:val="24"/>
        </w:rPr>
        <w:t xml:space="preserve">. </w:t>
      </w:r>
    </w:p>
    <w:p w:rsidR="00D213A1" w:rsidRPr="00B17AA0" w:rsidRDefault="00D213A1" w:rsidP="00D213A1">
      <w:pPr>
        <w:pStyle w:val="ListParagraph1"/>
        <w:shd w:val="clear" w:color="auto" w:fill="FFFFFF"/>
        <w:ind w:left="360"/>
        <w:jc w:val="both"/>
        <w:rPr>
          <w:rStyle w:val="longtext1"/>
          <w:rFonts w:ascii="Times New Roman" w:hAnsi="Times New Roman" w:cs="Times New Roman"/>
          <w:sz w:val="24"/>
          <w:szCs w:val="24"/>
        </w:rPr>
      </w:pPr>
    </w:p>
    <w:p w:rsidR="00586B49" w:rsidRPr="00B17AA0" w:rsidRDefault="00AB5C5C" w:rsidP="00B235EA">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t xml:space="preserve">Shoqëria ka filluar inventarizimin fizik të aktiveve afatgjata materiale por akoma nuk ka </w:t>
      </w:r>
      <w:r w:rsidR="00FB4682" w:rsidRPr="00B17AA0">
        <w:rPr>
          <w:rFonts w:ascii="Times New Roman" w:hAnsi="Times New Roman" w:cs="Times New Roman"/>
          <w:sz w:val="24"/>
          <w:szCs w:val="24"/>
        </w:rPr>
        <w:t>përfunduar,</w:t>
      </w:r>
      <w:r w:rsidRPr="00B17AA0">
        <w:rPr>
          <w:rFonts w:ascii="Times New Roman" w:hAnsi="Times New Roman" w:cs="Times New Roman"/>
          <w:sz w:val="24"/>
          <w:szCs w:val="24"/>
        </w:rPr>
        <w:t xml:space="preserve"> si rrjedhim rezultatet e inventarizimit nuk janë përcaktuar ende deri në datën e lëshimit të këtij opinioni auditimi.Meqënëse aktivet afatgjata materiale përbëjnë 61% të totalit të aktiveve dhe vendosja e tyre </w:t>
      </w:r>
      <w:r w:rsidR="00685DDB" w:rsidRPr="00B17AA0">
        <w:rPr>
          <w:rFonts w:ascii="Times New Roman" w:hAnsi="Times New Roman" w:cs="Times New Roman"/>
          <w:sz w:val="24"/>
          <w:szCs w:val="24"/>
        </w:rPr>
        <w:t>ë</w:t>
      </w:r>
      <w:r w:rsidRPr="00B17AA0">
        <w:rPr>
          <w:rFonts w:ascii="Times New Roman" w:hAnsi="Times New Roman" w:cs="Times New Roman"/>
          <w:sz w:val="24"/>
          <w:szCs w:val="24"/>
        </w:rPr>
        <w:t>sht</w:t>
      </w:r>
      <w:r w:rsidR="00685DDB" w:rsidRPr="00B17AA0">
        <w:rPr>
          <w:rFonts w:ascii="Times New Roman" w:hAnsi="Times New Roman" w:cs="Times New Roman"/>
          <w:sz w:val="24"/>
          <w:szCs w:val="24"/>
        </w:rPr>
        <w:t>ë</w:t>
      </w:r>
      <w:r w:rsidRPr="00B17AA0">
        <w:rPr>
          <w:rFonts w:ascii="Times New Roman" w:hAnsi="Times New Roman" w:cs="Times New Roman"/>
          <w:sz w:val="24"/>
          <w:szCs w:val="24"/>
        </w:rPr>
        <w:t xml:space="preserve"> në territore të pa-mbrojtura pas përfundimit total të inventarizimit fizik</w:t>
      </w:r>
      <w:r w:rsidR="00FB4682" w:rsidRPr="00B17AA0">
        <w:rPr>
          <w:rFonts w:ascii="Times New Roman" w:hAnsi="Times New Roman" w:cs="Times New Roman"/>
          <w:sz w:val="24"/>
          <w:szCs w:val="24"/>
        </w:rPr>
        <w:t xml:space="preserve">, </w:t>
      </w:r>
      <w:r w:rsidRPr="00B17AA0">
        <w:rPr>
          <w:rFonts w:ascii="Times New Roman" w:hAnsi="Times New Roman" w:cs="Times New Roman"/>
          <w:sz w:val="24"/>
          <w:szCs w:val="24"/>
        </w:rPr>
        <w:t xml:space="preserve">rezultatet e inventarizimit mund të kenë efekte materiale në Pasqyrat Financiare.Ne nuk </w:t>
      </w:r>
      <w:r w:rsidR="00FB4682" w:rsidRPr="00B17AA0">
        <w:rPr>
          <w:rFonts w:ascii="Times New Roman" w:hAnsi="Times New Roman" w:cs="Times New Roman"/>
          <w:sz w:val="24"/>
          <w:szCs w:val="24"/>
        </w:rPr>
        <w:t>ishim</w:t>
      </w:r>
      <w:r w:rsidRPr="00B17AA0">
        <w:rPr>
          <w:rFonts w:ascii="Times New Roman" w:hAnsi="Times New Roman" w:cs="Times New Roman"/>
          <w:sz w:val="24"/>
          <w:szCs w:val="24"/>
        </w:rPr>
        <w:t xml:space="preserve"> në gjëndje të siguronim evidencë të mjaftueshme dhe të përshtatshme auditimi për të verifikuar plotësinë, ekzistencën dhe vlerësimin e këtyre aseteve më 31 dhjetor 2014. </w:t>
      </w:r>
    </w:p>
    <w:p w:rsidR="00586B49" w:rsidRDefault="00AB5C5C" w:rsidP="00037230">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lastRenderedPageBreak/>
        <w:t>Shoqëria</w:t>
      </w:r>
      <w:r w:rsidR="00685DDB" w:rsidRPr="00B17AA0">
        <w:rPr>
          <w:rFonts w:ascii="Times New Roman" w:hAnsi="Times New Roman" w:cs="Times New Roman"/>
          <w:sz w:val="24"/>
          <w:szCs w:val="24"/>
        </w:rPr>
        <w:t xml:space="preserve"> "OSHEE" sh.a</w:t>
      </w:r>
      <w:r w:rsidR="00413442" w:rsidRPr="00B17AA0">
        <w:rPr>
          <w:rFonts w:ascii="Times New Roman" w:hAnsi="Times New Roman" w:cs="Times New Roman"/>
          <w:sz w:val="24"/>
          <w:szCs w:val="24"/>
        </w:rPr>
        <w:t xml:space="preserve"> </w:t>
      </w:r>
      <w:r w:rsidR="00685DDB" w:rsidRPr="00B17AA0">
        <w:rPr>
          <w:rFonts w:ascii="Times New Roman" w:hAnsi="Times New Roman" w:cs="Times New Roman"/>
          <w:sz w:val="24"/>
          <w:szCs w:val="24"/>
        </w:rPr>
        <w:t xml:space="preserve">(Ish </w:t>
      </w:r>
      <w:r w:rsidR="00413442" w:rsidRPr="00B17AA0">
        <w:rPr>
          <w:rFonts w:ascii="Times New Roman" w:hAnsi="Times New Roman" w:cs="Times New Roman"/>
          <w:sz w:val="24"/>
          <w:szCs w:val="24"/>
        </w:rPr>
        <w:t>-</w:t>
      </w:r>
      <w:r w:rsidR="00685DDB" w:rsidRPr="00B17AA0">
        <w:rPr>
          <w:rFonts w:ascii="Times New Roman" w:hAnsi="Times New Roman" w:cs="Times New Roman"/>
          <w:sz w:val="24"/>
          <w:szCs w:val="24"/>
        </w:rPr>
        <w:t>Çez-Shperndarje)</w:t>
      </w:r>
      <w:r w:rsidRPr="00B17AA0">
        <w:rPr>
          <w:rFonts w:ascii="Times New Roman" w:hAnsi="Times New Roman" w:cs="Times New Roman"/>
          <w:sz w:val="24"/>
          <w:szCs w:val="24"/>
        </w:rPr>
        <w:t xml:space="preserve"> në periudhën kur është shkëputur nga KESH sh.a ka marrë prej </w:t>
      </w:r>
      <w:r w:rsidR="00413442" w:rsidRPr="00B17AA0">
        <w:rPr>
          <w:rFonts w:ascii="Times New Roman" w:hAnsi="Times New Roman" w:cs="Times New Roman"/>
          <w:sz w:val="24"/>
          <w:szCs w:val="24"/>
        </w:rPr>
        <w:t>tij</w:t>
      </w:r>
      <w:r w:rsidRPr="00B17AA0">
        <w:rPr>
          <w:rFonts w:ascii="Times New Roman" w:hAnsi="Times New Roman" w:cs="Times New Roman"/>
          <w:sz w:val="24"/>
          <w:szCs w:val="24"/>
        </w:rPr>
        <w:t xml:space="preserve"> edhe detyrimet për shlyerjen e disa kredive të investuara në rrjetin e shpërndarjes së energjisë</w:t>
      </w:r>
      <w:r w:rsidR="00413442" w:rsidRPr="00B17AA0">
        <w:rPr>
          <w:rFonts w:ascii="Times New Roman" w:hAnsi="Times New Roman" w:cs="Times New Roman"/>
          <w:sz w:val="24"/>
          <w:szCs w:val="24"/>
        </w:rPr>
        <w:t xml:space="preserve"> elektrike</w:t>
      </w:r>
      <w:r w:rsidRPr="00B17AA0">
        <w:rPr>
          <w:rFonts w:ascii="Times New Roman" w:hAnsi="Times New Roman" w:cs="Times New Roman"/>
          <w:sz w:val="24"/>
          <w:szCs w:val="24"/>
        </w:rPr>
        <w:t>.Nga krahasimi i borxhit të pa-shlyer deri më 31 dhjetor 2014 sipas konfirmimeve të KESH sh.a dhe kontabilitetit të Shoqërisë</w:t>
      </w:r>
      <w:r w:rsidR="00685DDB" w:rsidRPr="00B17AA0">
        <w:rPr>
          <w:rFonts w:ascii="Times New Roman" w:hAnsi="Times New Roman" w:cs="Times New Roman"/>
          <w:sz w:val="24"/>
          <w:szCs w:val="24"/>
        </w:rPr>
        <w:t xml:space="preserve"> "OSHEE" sha.</w:t>
      </w:r>
      <w:r w:rsidRPr="00B17AA0">
        <w:rPr>
          <w:rFonts w:ascii="Times New Roman" w:hAnsi="Times New Roman" w:cs="Times New Roman"/>
          <w:sz w:val="24"/>
          <w:szCs w:val="24"/>
        </w:rPr>
        <w:t xml:space="preserve"> ka një mospërputhje prej 585,714,7 mijë lekësh (</w:t>
      </w:r>
      <w:r w:rsidRPr="00B17AA0">
        <w:rPr>
          <w:rFonts w:ascii="Times New Roman" w:hAnsi="Times New Roman" w:cs="Times New Roman"/>
          <w:i/>
          <w:sz w:val="24"/>
          <w:szCs w:val="24"/>
        </w:rPr>
        <w:t>Pasqyrat Financiare të Shoqërisë tregojnë një borxh më të madh lidhur me principalin</w:t>
      </w:r>
      <w:r w:rsidRPr="00B17AA0">
        <w:rPr>
          <w:rFonts w:ascii="Times New Roman" w:hAnsi="Times New Roman" w:cs="Times New Roman"/>
          <w:sz w:val="24"/>
          <w:szCs w:val="24"/>
        </w:rPr>
        <w:t>)</w:t>
      </w:r>
      <w:r w:rsidR="00BD4F53" w:rsidRPr="00B17AA0">
        <w:rPr>
          <w:rFonts w:ascii="Times New Roman" w:hAnsi="Times New Roman" w:cs="Times New Roman"/>
          <w:sz w:val="24"/>
          <w:szCs w:val="24"/>
        </w:rPr>
        <w:t xml:space="preserve">, </w:t>
      </w:r>
      <w:r w:rsidR="00456B50" w:rsidRPr="00B17AA0">
        <w:rPr>
          <w:rFonts w:ascii="Times New Roman" w:hAnsi="Times New Roman" w:cs="Times New Roman"/>
          <w:sz w:val="24"/>
          <w:szCs w:val="24"/>
        </w:rPr>
        <w:t>kjo</w:t>
      </w:r>
      <w:r w:rsidR="00685DDB" w:rsidRPr="00B17AA0">
        <w:rPr>
          <w:rFonts w:ascii="Times New Roman" w:hAnsi="Times New Roman" w:cs="Times New Roman"/>
          <w:sz w:val="24"/>
          <w:szCs w:val="24"/>
        </w:rPr>
        <w:t xml:space="preserve"> ka rezultuar si rezultat i </w:t>
      </w:r>
      <w:r w:rsidR="00456B50" w:rsidRPr="00B17AA0">
        <w:rPr>
          <w:rFonts w:ascii="Times New Roman" w:hAnsi="Times New Roman" w:cs="Times New Roman"/>
          <w:sz w:val="24"/>
          <w:szCs w:val="24"/>
        </w:rPr>
        <w:t>llogaritjes s</w:t>
      </w:r>
      <w:r w:rsidR="00685DDB" w:rsidRPr="00B17AA0">
        <w:rPr>
          <w:rFonts w:ascii="Times New Roman" w:hAnsi="Times New Roman" w:cs="Times New Roman"/>
          <w:sz w:val="24"/>
          <w:szCs w:val="24"/>
        </w:rPr>
        <w:t>ë</w:t>
      </w:r>
      <w:r w:rsidR="00456B50" w:rsidRPr="00B17AA0">
        <w:rPr>
          <w:rFonts w:ascii="Times New Roman" w:hAnsi="Times New Roman" w:cs="Times New Roman"/>
          <w:sz w:val="24"/>
          <w:szCs w:val="24"/>
        </w:rPr>
        <w:t xml:space="preserve"> shpenzimeve p</w:t>
      </w:r>
      <w:r w:rsidR="00685DDB" w:rsidRPr="00B17AA0">
        <w:rPr>
          <w:rFonts w:ascii="Times New Roman" w:hAnsi="Times New Roman" w:cs="Times New Roman"/>
          <w:sz w:val="24"/>
          <w:szCs w:val="24"/>
        </w:rPr>
        <w:t>ë</w:t>
      </w:r>
      <w:r w:rsidR="00456B50" w:rsidRPr="00B17AA0">
        <w:rPr>
          <w:rFonts w:ascii="Times New Roman" w:hAnsi="Times New Roman" w:cs="Times New Roman"/>
          <w:sz w:val="24"/>
          <w:szCs w:val="24"/>
        </w:rPr>
        <w:t>r interesa</w:t>
      </w:r>
      <w:r w:rsidR="00685DDB" w:rsidRPr="00B17AA0">
        <w:rPr>
          <w:rFonts w:ascii="Times New Roman" w:hAnsi="Times New Roman" w:cs="Times New Roman"/>
          <w:sz w:val="24"/>
          <w:szCs w:val="24"/>
        </w:rPr>
        <w:t xml:space="preserve"> më shumë se skedulimi i huave përkatëse</w:t>
      </w:r>
      <w:r w:rsidR="00456B50" w:rsidRPr="00B17AA0">
        <w:rPr>
          <w:rFonts w:ascii="Times New Roman" w:hAnsi="Times New Roman" w:cs="Times New Roman"/>
          <w:sz w:val="24"/>
          <w:szCs w:val="24"/>
        </w:rPr>
        <w:t xml:space="preserve"> n</w:t>
      </w:r>
      <w:r w:rsidR="00685DDB" w:rsidRPr="00B17AA0">
        <w:rPr>
          <w:rFonts w:ascii="Times New Roman" w:hAnsi="Times New Roman" w:cs="Times New Roman"/>
          <w:sz w:val="24"/>
          <w:szCs w:val="24"/>
        </w:rPr>
        <w:t>ë</w:t>
      </w:r>
      <w:r w:rsidR="00456B50" w:rsidRPr="00B17AA0">
        <w:rPr>
          <w:rFonts w:ascii="Times New Roman" w:hAnsi="Times New Roman" w:cs="Times New Roman"/>
          <w:sz w:val="24"/>
          <w:szCs w:val="24"/>
        </w:rPr>
        <w:t xml:space="preserve"> periudh</w:t>
      </w:r>
      <w:r w:rsidR="00BD4F53" w:rsidRPr="00B17AA0">
        <w:rPr>
          <w:rFonts w:ascii="Times New Roman" w:hAnsi="Times New Roman" w:cs="Times New Roman"/>
          <w:sz w:val="24"/>
          <w:szCs w:val="24"/>
        </w:rPr>
        <w:t>ë</w:t>
      </w:r>
      <w:r w:rsidR="00456B50" w:rsidRPr="00B17AA0">
        <w:rPr>
          <w:rFonts w:ascii="Times New Roman" w:hAnsi="Times New Roman" w:cs="Times New Roman"/>
          <w:sz w:val="24"/>
          <w:szCs w:val="24"/>
        </w:rPr>
        <w:t xml:space="preserve">n e administrimit </w:t>
      </w:r>
      <w:r w:rsidR="00685DDB" w:rsidRPr="00B17AA0">
        <w:rPr>
          <w:rFonts w:ascii="Times New Roman" w:hAnsi="Times New Roman" w:cs="Times New Roman"/>
          <w:sz w:val="24"/>
          <w:szCs w:val="24"/>
        </w:rPr>
        <w:t>Ç</w:t>
      </w:r>
      <w:r w:rsidR="00456B50" w:rsidRPr="00B17AA0">
        <w:rPr>
          <w:rFonts w:ascii="Times New Roman" w:hAnsi="Times New Roman" w:cs="Times New Roman"/>
          <w:sz w:val="24"/>
          <w:szCs w:val="24"/>
        </w:rPr>
        <w:t>ez</w:t>
      </w:r>
      <w:r w:rsidR="00685DDB" w:rsidRPr="00B17AA0">
        <w:rPr>
          <w:rFonts w:ascii="Times New Roman" w:hAnsi="Times New Roman" w:cs="Times New Roman"/>
          <w:sz w:val="24"/>
          <w:szCs w:val="24"/>
        </w:rPr>
        <w:t>-shperndarje</w:t>
      </w:r>
      <w:r w:rsidRPr="00B17AA0">
        <w:rPr>
          <w:rFonts w:ascii="Times New Roman" w:hAnsi="Times New Roman" w:cs="Times New Roman"/>
          <w:sz w:val="24"/>
          <w:szCs w:val="24"/>
        </w:rPr>
        <w:t xml:space="preserve">.Po kështu nga krahasimi i borxhit për mospagim të interesave deri më 31dhjetor 2014 midis konfirmimeve të KESH sh.a.dhe kontabilitetit të Shoqërisë ka mospërputhje.Si rrjedhim, ne nuk ishim në gjëndje të siguronim evidencë të mjaftueshme dhe të përshtatshme auditimi për të verifikuar vlerësimin dhe paraqitjen e këtyre kredive dhe shumës së interesave të lidhura me to. </w:t>
      </w:r>
    </w:p>
    <w:p w:rsidR="00D213A1" w:rsidRPr="00B17AA0" w:rsidRDefault="00D213A1" w:rsidP="00D213A1">
      <w:pPr>
        <w:pStyle w:val="ListParagraph1"/>
        <w:ind w:left="360"/>
        <w:jc w:val="both"/>
        <w:rPr>
          <w:rFonts w:ascii="Times New Roman" w:hAnsi="Times New Roman" w:cs="Times New Roman"/>
          <w:sz w:val="24"/>
          <w:szCs w:val="24"/>
        </w:rPr>
      </w:pPr>
    </w:p>
    <w:p w:rsidR="00586B49" w:rsidRPr="00D213A1" w:rsidRDefault="00AB5C5C" w:rsidP="007F4E43">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shd w:val="clear" w:color="auto" w:fill="FFFFFF"/>
        </w:rPr>
        <w:t xml:space="preserve">Shoqëria ka paraqitur pozicionin </w:t>
      </w:r>
      <w:r w:rsidR="004F394C" w:rsidRPr="00B17AA0">
        <w:rPr>
          <w:rFonts w:ascii="Times New Roman" w:hAnsi="Times New Roman" w:cs="Times New Roman"/>
          <w:sz w:val="24"/>
          <w:szCs w:val="24"/>
          <w:shd w:val="clear" w:color="auto" w:fill="FFFFFF"/>
        </w:rPr>
        <w:t>financiar”</w:t>
      </w:r>
      <w:r w:rsidRPr="00B17AA0">
        <w:rPr>
          <w:rFonts w:ascii="Times New Roman" w:hAnsi="Times New Roman" w:cs="Times New Roman"/>
          <w:sz w:val="24"/>
          <w:szCs w:val="24"/>
          <w:shd w:val="clear" w:color="auto" w:fill="FFFFFF"/>
        </w:rPr>
        <w:t xml:space="preserve">Huatë” në </w:t>
      </w:r>
      <w:r w:rsidRPr="00B17AA0">
        <w:rPr>
          <w:rFonts w:ascii="Times New Roman" w:hAnsi="Times New Roman" w:cs="Times New Roman"/>
          <w:sz w:val="24"/>
          <w:szCs w:val="24"/>
        </w:rPr>
        <w:t xml:space="preserve">Pasqyrat Financiare </w:t>
      </w:r>
      <w:r w:rsidRPr="00B17AA0">
        <w:rPr>
          <w:rFonts w:ascii="Times New Roman" w:hAnsi="Times New Roman" w:cs="Times New Roman"/>
          <w:sz w:val="24"/>
          <w:szCs w:val="24"/>
          <w:shd w:val="clear" w:color="auto" w:fill="FFFFFF"/>
        </w:rPr>
        <w:t>të saj më 31 dhjetor 2014 dhe 2013 me Norma interesi nën normat e tregut. Shoqëria nuk i ka njohur huatë me vlerë të drejtë në momentin e njohjes fillestare kur është shkëputur nga KESH sh.a dhe me kosto të amortizuar në vijim, sipas SNK 39:”Instrumentet Financiare: Njohja dhe Matja”. Gjithashtu shoqëria nuk ka dhënë informacione shpjeguese për analizën e sensitivitetit dhe vlerës së drejtë (fair value), të cilat kërkohen nga IFRS 7 “Instrumentat Financiarë: Dhënie Informacionesh Shpjeguese”. Si pasojë e natyrës së regjistrimeve kontabël dhe mungesës së dokumentacionit mbështetës të përshtatshëm për gjykim, ne nuk mundëm të përcaktojmë çfarë rregullimesh mund të ishin të nevojshme në Pasqyrat Financiare të shoqërisë.</w:t>
      </w:r>
    </w:p>
    <w:p w:rsidR="00D213A1" w:rsidRPr="00B17AA0" w:rsidRDefault="00D213A1" w:rsidP="00D213A1">
      <w:pPr>
        <w:pStyle w:val="ListParagraph1"/>
        <w:ind w:left="360"/>
        <w:jc w:val="both"/>
        <w:rPr>
          <w:rFonts w:ascii="Times New Roman" w:hAnsi="Times New Roman" w:cs="Times New Roman"/>
          <w:sz w:val="24"/>
          <w:szCs w:val="24"/>
        </w:rPr>
      </w:pPr>
    </w:p>
    <w:p w:rsidR="00586B49" w:rsidRDefault="00AB5C5C" w:rsidP="007F4E43">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t xml:space="preserve">Shoqëria nuk ka arritur të </w:t>
      </w:r>
      <w:r w:rsidR="008F122C" w:rsidRPr="00B17AA0">
        <w:rPr>
          <w:rFonts w:ascii="Times New Roman" w:hAnsi="Times New Roman" w:cs="Times New Roman"/>
          <w:sz w:val="24"/>
          <w:szCs w:val="24"/>
        </w:rPr>
        <w:t xml:space="preserve">finalizojë </w:t>
      </w:r>
      <w:r w:rsidRPr="00B17AA0">
        <w:rPr>
          <w:rFonts w:ascii="Times New Roman" w:hAnsi="Times New Roman" w:cs="Times New Roman"/>
          <w:sz w:val="24"/>
          <w:szCs w:val="24"/>
        </w:rPr>
        <w:t>rakord</w:t>
      </w:r>
      <w:r w:rsidR="008F122C" w:rsidRPr="00B17AA0">
        <w:rPr>
          <w:rFonts w:ascii="Times New Roman" w:hAnsi="Times New Roman" w:cs="Times New Roman"/>
          <w:sz w:val="24"/>
          <w:szCs w:val="24"/>
        </w:rPr>
        <w:t>imin e</w:t>
      </w:r>
      <w:r w:rsidRPr="00B17AA0">
        <w:rPr>
          <w:rFonts w:ascii="Times New Roman" w:hAnsi="Times New Roman" w:cs="Times New Roman"/>
          <w:sz w:val="24"/>
          <w:szCs w:val="24"/>
        </w:rPr>
        <w:t xml:space="preserve"> llogari</w:t>
      </w:r>
      <w:r w:rsidR="008F122C" w:rsidRPr="00B17AA0">
        <w:rPr>
          <w:rFonts w:ascii="Times New Roman" w:hAnsi="Times New Roman" w:cs="Times New Roman"/>
          <w:sz w:val="24"/>
          <w:szCs w:val="24"/>
        </w:rPr>
        <w:t>ve</w:t>
      </w:r>
      <w:r w:rsidRPr="00B17AA0">
        <w:rPr>
          <w:rFonts w:ascii="Times New Roman" w:hAnsi="Times New Roman" w:cs="Times New Roman"/>
          <w:sz w:val="24"/>
          <w:szCs w:val="24"/>
        </w:rPr>
        <w:t xml:space="preserve"> tregtare të pagueshme ndaj KESH sh.a. Nga krahasimi i të pagueshmëve tregtare të pa shlyera deri më 31 dhjetor 2014 midis konfirmimeve të KESH sh.a. dhe kontabilitetit te Shoqërisë ka një mospërputhje prej 7,516,984 mijë lekësh.Këto mospërputhje lidhen me</w:t>
      </w:r>
      <w:r w:rsidR="00456B50" w:rsidRPr="00B17AA0">
        <w:rPr>
          <w:rFonts w:ascii="Times New Roman" w:hAnsi="Times New Roman" w:cs="Times New Roman"/>
          <w:sz w:val="24"/>
          <w:szCs w:val="24"/>
        </w:rPr>
        <w:t xml:space="preserve"> mospranimin e faturave tatimore p</w:t>
      </w:r>
      <w:r w:rsidR="00FF7ABC" w:rsidRPr="00B17AA0">
        <w:rPr>
          <w:rFonts w:ascii="Times New Roman" w:hAnsi="Times New Roman" w:cs="Times New Roman"/>
          <w:sz w:val="24"/>
          <w:szCs w:val="24"/>
        </w:rPr>
        <w:t>ë</w:t>
      </w:r>
      <w:r w:rsidR="00456B50" w:rsidRPr="00B17AA0">
        <w:rPr>
          <w:rFonts w:ascii="Times New Roman" w:hAnsi="Times New Roman" w:cs="Times New Roman"/>
          <w:sz w:val="24"/>
          <w:szCs w:val="24"/>
        </w:rPr>
        <w:t xml:space="preserve">r vitin 2012 dhe </w:t>
      </w:r>
      <w:r w:rsidRPr="00B17AA0">
        <w:rPr>
          <w:rFonts w:ascii="Times New Roman" w:hAnsi="Times New Roman" w:cs="Times New Roman"/>
          <w:sz w:val="24"/>
          <w:szCs w:val="24"/>
        </w:rPr>
        <w:t>llogaritjen e penaliteteve (</w:t>
      </w:r>
      <w:r w:rsidRPr="00B17AA0">
        <w:rPr>
          <w:rFonts w:ascii="Times New Roman" w:hAnsi="Times New Roman" w:cs="Times New Roman"/>
          <w:i/>
          <w:sz w:val="24"/>
          <w:szCs w:val="24"/>
        </w:rPr>
        <w:t xml:space="preserve">interesa për pagesa të vonuara, parregullsitë në fatura </w:t>
      </w:r>
      <w:r w:rsidR="00456B50" w:rsidRPr="00B17AA0">
        <w:rPr>
          <w:rFonts w:ascii="Times New Roman" w:hAnsi="Times New Roman" w:cs="Times New Roman"/>
          <w:i/>
          <w:sz w:val="24"/>
          <w:szCs w:val="24"/>
        </w:rPr>
        <w:t>p</w:t>
      </w:r>
      <w:r w:rsidR="00FF7ABC" w:rsidRPr="00B17AA0">
        <w:rPr>
          <w:rFonts w:ascii="Times New Roman" w:hAnsi="Times New Roman" w:cs="Times New Roman"/>
          <w:i/>
          <w:sz w:val="24"/>
          <w:szCs w:val="24"/>
        </w:rPr>
        <w:t>ë</w:t>
      </w:r>
      <w:r w:rsidR="00456B50" w:rsidRPr="00B17AA0">
        <w:rPr>
          <w:rFonts w:ascii="Times New Roman" w:hAnsi="Times New Roman" w:cs="Times New Roman"/>
          <w:i/>
          <w:sz w:val="24"/>
          <w:szCs w:val="24"/>
        </w:rPr>
        <w:t>r periudh</w:t>
      </w:r>
      <w:r w:rsidR="00FF7ABC" w:rsidRPr="00B17AA0">
        <w:rPr>
          <w:rFonts w:ascii="Times New Roman" w:hAnsi="Times New Roman" w:cs="Times New Roman"/>
          <w:i/>
          <w:sz w:val="24"/>
          <w:szCs w:val="24"/>
        </w:rPr>
        <w:t>ë</w:t>
      </w:r>
      <w:r w:rsidR="00456B50" w:rsidRPr="00B17AA0">
        <w:rPr>
          <w:rFonts w:ascii="Times New Roman" w:hAnsi="Times New Roman" w:cs="Times New Roman"/>
          <w:i/>
          <w:sz w:val="24"/>
          <w:szCs w:val="24"/>
        </w:rPr>
        <w:t>n e detyrimeve q</w:t>
      </w:r>
      <w:r w:rsidR="00FF7ABC" w:rsidRPr="00B17AA0">
        <w:rPr>
          <w:rFonts w:ascii="Times New Roman" w:hAnsi="Times New Roman" w:cs="Times New Roman"/>
          <w:i/>
          <w:sz w:val="24"/>
          <w:szCs w:val="24"/>
        </w:rPr>
        <w:t>ë</w:t>
      </w:r>
      <w:r w:rsidR="00456B50" w:rsidRPr="00B17AA0">
        <w:rPr>
          <w:rFonts w:ascii="Times New Roman" w:hAnsi="Times New Roman" w:cs="Times New Roman"/>
          <w:i/>
          <w:sz w:val="24"/>
          <w:szCs w:val="24"/>
        </w:rPr>
        <w:t xml:space="preserve"> i p</w:t>
      </w:r>
      <w:r w:rsidR="00FF7ABC" w:rsidRPr="00B17AA0">
        <w:rPr>
          <w:rFonts w:ascii="Times New Roman" w:hAnsi="Times New Roman" w:cs="Times New Roman"/>
          <w:i/>
          <w:sz w:val="24"/>
          <w:szCs w:val="24"/>
        </w:rPr>
        <w:t>ë</w:t>
      </w:r>
      <w:r w:rsidR="00456B50" w:rsidRPr="00B17AA0">
        <w:rPr>
          <w:rFonts w:ascii="Times New Roman" w:hAnsi="Times New Roman" w:cs="Times New Roman"/>
          <w:i/>
          <w:sz w:val="24"/>
          <w:szCs w:val="24"/>
        </w:rPr>
        <w:t>rkasin para vitit 2013</w:t>
      </w:r>
      <w:r w:rsidRPr="00B17AA0">
        <w:rPr>
          <w:rFonts w:ascii="Times New Roman" w:hAnsi="Times New Roman" w:cs="Times New Roman"/>
          <w:sz w:val="24"/>
          <w:szCs w:val="24"/>
        </w:rPr>
        <w:t xml:space="preserve">).Aktualisht të dy shoqëritë po punojnë për rakordimin e llogarive bazuar edhe në një marrëveshje </w:t>
      </w:r>
      <w:r w:rsidR="00FB4682" w:rsidRPr="00B17AA0">
        <w:rPr>
          <w:rFonts w:ascii="Times New Roman" w:hAnsi="Times New Roman" w:cs="Times New Roman"/>
          <w:sz w:val="24"/>
          <w:szCs w:val="24"/>
        </w:rPr>
        <w:t>mirëkuptimi ndërinstitucionale</w:t>
      </w:r>
      <w:r w:rsidRPr="00B17AA0">
        <w:rPr>
          <w:rFonts w:ascii="Times New Roman" w:hAnsi="Times New Roman" w:cs="Times New Roman"/>
          <w:sz w:val="24"/>
          <w:szCs w:val="24"/>
        </w:rPr>
        <w:t>.Si rrjedhim, ne nuk ishim në gjëndje të siguronim evidencë të mjaftueshme dhe të përshtatshme auditimi për të arritur në konkluzionin nëse de</w:t>
      </w:r>
      <w:r w:rsidR="00765C80">
        <w:rPr>
          <w:rFonts w:ascii="Times New Roman" w:hAnsi="Times New Roman" w:cs="Times New Roman"/>
          <w:sz w:val="24"/>
          <w:szCs w:val="24"/>
        </w:rPr>
        <w:t>tyrimet tregtare ndaj KESH sh.a</w:t>
      </w:r>
      <w:r w:rsidRPr="00B17AA0">
        <w:rPr>
          <w:rFonts w:ascii="Times New Roman" w:hAnsi="Times New Roman" w:cs="Times New Roman"/>
          <w:sz w:val="24"/>
          <w:szCs w:val="24"/>
        </w:rPr>
        <w:t xml:space="preserve"> më 31 dhjetor 2014 janë raportuar saktë.</w:t>
      </w:r>
    </w:p>
    <w:p w:rsidR="00D213A1" w:rsidRPr="00B17AA0" w:rsidRDefault="00D213A1" w:rsidP="00D213A1">
      <w:pPr>
        <w:pStyle w:val="ListParagraph1"/>
        <w:ind w:left="360"/>
        <w:jc w:val="both"/>
        <w:rPr>
          <w:rFonts w:ascii="Times New Roman" w:hAnsi="Times New Roman" w:cs="Times New Roman"/>
          <w:sz w:val="24"/>
          <w:szCs w:val="24"/>
        </w:rPr>
      </w:pPr>
    </w:p>
    <w:p w:rsidR="00586B49" w:rsidRDefault="00AB5C5C" w:rsidP="007F4E43">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t>Shoqëria nuk ka arritur të</w:t>
      </w:r>
      <w:r w:rsidR="00924A51" w:rsidRPr="00B17AA0">
        <w:rPr>
          <w:rFonts w:ascii="Times New Roman" w:hAnsi="Times New Roman" w:cs="Times New Roman"/>
          <w:sz w:val="24"/>
          <w:szCs w:val="24"/>
        </w:rPr>
        <w:t xml:space="preserve"> finalizojë rakordimin e llogarive</w:t>
      </w:r>
      <w:r w:rsidRPr="00B17AA0">
        <w:rPr>
          <w:rFonts w:ascii="Times New Roman" w:hAnsi="Times New Roman" w:cs="Times New Roman"/>
          <w:sz w:val="24"/>
          <w:szCs w:val="24"/>
        </w:rPr>
        <w:t xml:space="preserve"> tregtare të pagueshme ndaj OST sh.a. Nga krahasimi i të pagueshmeve tregtare të pa shlyera deri më 31 dhjetor 2014 midis konfirmimeve të OST sh.a dhe kontabilitetit të Shoqërisë ka një mospërputhje prej 2,453,326.5mijë lekësh.</w:t>
      </w:r>
      <w:r w:rsidR="00FF7ABC" w:rsidRPr="00B17AA0">
        <w:rPr>
          <w:rFonts w:ascii="Times New Roman" w:hAnsi="Times New Roman" w:cs="Times New Roman"/>
          <w:sz w:val="24"/>
          <w:szCs w:val="24"/>
        </w:rPr>
        <w:t>Këto mospërputhje lidhen me mospranimin e faturave tatimore për vitin 2012 dhe llogaritjen e penaliteteve (</w:t>
      </w:r>
      <w:r w:rsidR="00FF7ABC" w:rsidRPr="00B17AA0">
        <w:rPr>
          <w:rFonts w:ascii="Times New Roman" w:hAnsi="Times New Roman" w:cs="Times New Roman"/>
          <w:i/>
          <w:sz w:val="24"/>
          <w:szCs w:val="24"/>
        </w:rPr>
        <w:t>interesa për pagesa të vonuara, parregullsitë në fatura për periudhën e detyrimeve që i përkasin para vitit 2013</w:t>
      </w:r>
      <w:r w:rsidR="00FF7ABC" w:rsidRPr="00B17AA0">
        <w:rPr>
          <w:rFonts w:ascii="Times New Roman" w:hAnsi="Times New Roman" w:cs="Times New Roman"/>
          <w:sz w:val="24"/>
          <w:szCs w:val="24"/>
        </w:rPr>
        <w:t>).</w:t>
      </w:r>
      <w:r w:rsidR="00456B50" w:rsidRPr="00B17AA0">
        <w:rPr>
          <w:rFonts w:ascii="Times New Roman" w:hAnsi="Times New Roman" w:cs="Times New Roman"/>
          <w:sz w:val="24"/>
          <w:szCs w:val="24"/>
        </w:rPr>
        <w:t xml:space="preserve"> </w:t>
      </w:r>
      <w:r w:rsidRPr="00B17AA0">
        <w:rPr>
          <w:rFonts w:ascii="Times New Roman" w:hAnsi="Times New Roman" w:cs="Times New Roman"/>
          <w:sz w:val="24"/>
          <w:szCs w:val="24"/>
        </w:rPr>
        <w:t>Aktualisht të dy shoqëritë po punojnë për rakordimin e llogarive. Si rrjedhim, ne nuk ishim në gjëndje të siguronim evidencë të mjaftueshme dhe të përshtatshme auditimi për të arritur në konkluzionin nëse detyrimet tregtare ndaj OST sh.a m</w:t>
      </w:r>
      <w:r w:rsidR="00FB4682" w:rsidRPr="00B17AA0">
        <w:rPr>
          <w:rFonts w:ascii="Times New Roman" w:hAnsi="Times New Roman" w:cs="Times New Roman"/>
          <w:sz w:val="24"/>
          <w:szCs w:val="24"/>
        </w:rPr>
        <w:t>ë</w:t>
      </w:r>
      <w:r w:rsidRPr="00B17AA0">
        <w:rPr>
          <w:rFonts w:ascii="Times New Roman" w:hAnsi="Times New Roman" w:cs="Times New Roman"/>
          <w:sz w:val="24"/>
          <w:szCs w:val="24"/>
        </w:rPr>
        <w:t xml:space="preserve"> 31 dhjetor 2014 janë raportuar saktë. </w:t>
      </w:r>
    </w:p>
    <w:p w:rsidR="00D213A1" w:rsidRPr="00B17AA0" w:rsidRDefault="00D213A1" w:rsidP="00D213A1">
      <w:pPr>
        <w:pStyle w:val="ListParagraph1"/>
        <w:ind w:left="360"/>
        <w:jc w:val="both"/>
        <w:rPr>
          <w:rFonts w:ascii="Times New Roman" w:hAnsi="Times New Roman" w:cs="Times New Roman"/>
          <w:sz w:val="24"/>
          <w:szCs w:val="24"/>
        </w:rPr>
      </w:pPr>
    </w:p>
    <w:p w:rsidR="00586B49" w:rsidRPr="00B17AA0" w:rsidRDefault="00AB5C5C" w:rsidP="00765C80">
      <w:pPr>
        <w:pStyle w:val="ListParagraph1"/>
        <w:numPr>
          <w:ilvl w:val="0"/>
          <w:numId w:val="1"/>
        </w:numPr>
        <w:jc w:val="both"/>
        <w:rPr>
          <w:rFonts w:ascii="Times New Roman" w:hAnsi="Times New Roman" w:cs="Times New Roman"/>
          <w:sz w:val="24"/>
          <w:szCs w:val="24"/>
        </w:rPr>
      </w:pPr>
      <w:r w:rsidRPr="00B17AA0">
        <w:rPr>
          <w:rFonts w:ascii="Times New Roman" w:hAnsi="Times New Roman" w:cs="Times New Roman"/>
          <w:sz w:val="24"/>
          <w:szCs w:val="24"/>
        </w:rPr>
        <w:lastRenderedPageBreak/>
        <w:t>Shoqëria</w:t>
      </w:r>
      <w:r w:rsidR="008215ED" w:rsidRPr="00B17AA0">
        <w:rPr>
          <w:rFonts w:ascii="Times New Roman" w:hAnsi="Times New Roman" w:cs="Times New Roman"/>
          <w:sz w:val="24"/>
          <w:szCs w:val="24"/>
        </w:rPr>
        <w:t xml:space="preserve"> "</w:t>
      </w:r>
      <w:r w:rsidR="00156FEA" w:rsidRPr="00B17AA0">
        <w:rPr>
          <w:rFonts w:ascii="Times New Roman" w:hAnsi="Times New Roman" w:cs="Times New Roman"/>
          <w:sz w:val="24"/>
          <w:szCs w:val="24"/>
        </w:rPr>
        <w:t>O</w:t>
      </w:r>
      <w:r w:rsidR="008215ED" w:rsidRPr="00B17AA0">
        <w:rPr>
          <w:rFonts w:ascii="Times New Roman" w:hAnsi="Times New Roman" w:cs="Times New Roman"/>
          <w:sz w:val="24"/>
          <w:szCs w:val="24"/>
        </w:rPr>
        <w:t>SHEE"</w:t>
      </w:r>
      <w:r w:rsidR="00156FEA" w:rsidRPr="00B17AA0">
        <w:rPr>
          <w:rFonts w:ascii="Times New Roman" w:hAnsi="Times New Roman" w:cs="Times New Roman"/>
          <w:sz w:val="24"/>
          <w:szCs w:val="24"/>
        </w:rPr>
        <w:t>sh</w:t>
      </w:r>
      <w:r w:rsidR="008215ED" w:rsidRPr="00B17AA0">
        <w:rPr>
          <w:rFonts w:ascii="Times New Roman" w:hAnsi="Times New Roman" w:cs="Times New Roman"/>
          <w:sz w:val="24"/>
          <w:szCs w:val="24"/>
        </w:rPr>
        <w:t>.</w:t>
      </w:r>
      <w:r w:rsidR="00156FEA" w:rsidRPr="00B17AA0">
        <w:rPr>
          <w:rFonts w:ascii="Times New Roman" w:hAnsi="Times New Roman" w:cs="Times New Roman"/>
          <w:sz w:val="24"/>
          <w:szCs w:val="24"/>
        </w:rPr>
        <w:t xml:space="preserve">a dhe Posta Shqiptare </w:t>
      </w:r>
      <w:r w:rsidR="008215ED" w:rsidRPr="00B17AA0">
        <w:rPr>
          <w:rFonts w:ascii="Times New Roman" w:hAnsi="Times New Roman" w:cs="Times New Roman"/>
          <w:sz w:val="24"/>
          <w:szCs w:val="24"/>
        </w:rPr>
        <w:t xml:space="preserve">sh.a </w:t>
      </w:r>
      <w:r w:rsidRPr="00B17AA0">
        <w:rPr>
          <w:rFonts w:ascii="Times New Roman" w:hAnsi="Times New Roman" w:cs="Times New Roman"/>
          <w:sz w:val="24"/>
          <w:szCs w:val="24"/>
        </w:rPr>
        <w:t xml:space="preserve">nuk </w:t>
      </w:r>
      <w:r w:rsidR="00156FEA" w:rsidRPr="00B17AA0">
        <w:rPr>
          <w:rFonts w:ascii="Times New Roman" w:hAnsi="Times New Roman" w:cs="Times New Roman"/>
          <w:sz w:val="24"/>
          <w:szCs w:val="24"/>
        </w:rPr>
        <w:t xml:space="preserve">ka arritur </w:t>
      </w:r>
      <w:r w:rsidR="00924A51" w:rsidRPr="00B17AA0">
        <w:rPr>
          <w:rFonts w:ascii="Times New Roman" w:hAnsi="Times New Roman" w:cs="Times New Roman"/>
          <w:sz w:val="24"/>
          <w:szCs w:val="24"/>
        </w:rPr>
        <w:t xml:space="preserve">të finalizojë rakordimin e </w:t>
      </w:r>
      <w:r w:rsidRPr="00B17AA0">
        <w:rPr>
          <w:rFonts w:ascii="Times New Roman" w:hAnsi="Times New Roman" w:cs="Times New Roman"/>
          <w:sz w:val="24"/>
          <w:szCs w:val="24"/>
        </w:rPr>
        <w:t>llogari</w:t>
      </w:r>
      <w:r w:rsidR="00924A51" w:rsidRPr="00B17AA0">
        <w:rPr>
          <w:rFonts w:ascii="Times New Roman" w:hAnsi="Times New Roman" w:cs="Times New Roman"/>
          <w:sz w:val="24"/>
          <w:szCs w:val="24"/>
        </w:rPr>
        <w:t>ve</w:t>
      </w:r>
      <w:r w:rsidRPr="00B17AA0">
        <w:rPr>
          <w:rFonts w:ascii="Times New Roman" w:hAnsi="Times New Roman" w:cs="Times New Roman"/>
          <w:sz w:val="24"/>
          <w:szCs w:val="24"/>
        </w:rPr>
        <w:t xml:space="preserve"> tregtare të pagueshme</w:t>
      </w:r>
      <w:r w:rsidR="00156FEA" w:rsidRPr="00B17AA0">
        <w:rPr>
          <w:rFonts w:ascii="Times New Roman" w:hAnsi="Times New Roman" w:cs="Times New Roman"/>
          <w:sz w:val="24"/>
          <w:szCs w:val="24"/>
        </w:rPr>
        <w:t>,</w:t>
      </w:r>
      <w:r w:rsidR="008215ED" w:rsidRPr="00B17AA0">
        <w:rPr>
          <w:rFonts w:ascii="Times New Roman" w:hAnsi="Times New Roman" w:cs="Times New Roman"/>
          <w:sz w:val="24"/>
          <w:szCs w:val="24"/>
        </w:rPr>
        <w:t xml:space="preserve"> </w:t>
      </w:r>
      <w:r w:rsidR="00156FEA" w:rsidRPr="00B17AA0">
        <w:rPr>
          <w:rFonts w:ascii="Times New Roman" w:hAnsi="Times New Roman" w:cs="Times New Roman"/>
          <w:sz w:val="24"/>
          <w:szCs w:val="24"/>
        </w:rPr>
        <w:t>p</w:t>
      </w:r>
      <w:r w:rsidR="00C748BC" w:rsidRPr="00B17AA0">
        <w:rPr>
          <w:rFonts w:ascii="Times New Roman" w:hAnsi="Times New Roman" w:cs="Times New Roman"/>
          <w:sz w:val="24"/>
          <w:szCs w:val="24"/>
        </w:rPr>
        <w:t>ë</w:t>
      </w:r>
      <w:r w:rsidR="00156FEA" w:rsidRPr="00B17AA0">
        <w:rPr>
          <w:rFonts w:ascii="Times New Roman" w:hAnsi="Times New Roman" w:cs="Times New Roman"/>
          <w:sz w:val="24"/>
          <w:szCs w:val="24"/>
        </w:rPr>
        <w:t xml:space="preserve">r </w:t>
      </w:r>
      <w:r w:rsidR="008215ED" w:rsidRPr="00B17AA0">
        <w:rPr>
          <w:rFonts w:ascii="Times New Roman" w:hAnsi="Times New Roman" w:cs="Times New Roman"/>
          <w:sz w:val="24"/>
          <w:szCs w:val="24"/>
        </w:rPr>
        <w:t>periudh</w:t>
      </w:r>
      <w:r w:rsidR="00C748BC" w:rsidRPr="00B17AA0">
        <w:rPr>
          <w:rFonts w:ascii="Times New Roman" w:hAnsi="Times New Roman" w:cs="Times New Roman"/>
          <w:sz w:val="24"/>
          <w:szCs w:val="24"/>
        </w:rPr>
        <w:t>ë</w:t>
      </w:r>
      <w:r w:rsidR="008215ED" w:rsidRPr="00B17AA0">
        <w:rPr>
          <w:rFonts w:ascii="Times New Roman" w:hAnsi="Times New Roman" w:cs="Times New Roman"/>
          <w:sz w:val="24"/>
          <w:szCs w:val="24"/>
        </w:rPr>
        <w:t>n 01.01.2010-31.10.2014</w:t>
      </w:r>
      <w:r w:rsidR="00156FEA" w:rsidRPr="00B17AA0">
        <w:rPr>
          <w:rFonts w:ascii="Times New Roman" w:hAnsi="Times New Roman" w:cs="Times New Roman"/>
          <w:sz w:val="24"/>
          <w:szCs w:val="24"/>
        </w:rPr>
        <w:t>.</w:t>
      </w:r>
      <w:r w:rsidR="008215ED" w:rsidRPr="00B17AA0">
        <w:rPr>
          <w:rFonts w:ascii="Times New Roman" w:hAnsi="Times New Roman" w:cs="Times New Roman"/>
          <w:sz w:val="24"/>
          <w:szCs w:val="24"/>
        </w:rPr>
        <w:t xml:space="preserve"> Ne konstatojm</w:t>
      </w:r>
      <w:r w:rsidR="00866C47" w:rsidRPr="00B17AA0">
        <w:rPr>
          <w:rFonts w:ascii="Times New Roman" w:hAnsi="Times New Roman" w:cs="Times New Roman"/>
          <w:sz w:val="24"/>
          <w:szCs w:val="24"/>
        </w:rPr>
        <w:t>ë</w:t>
      </w:r>
      <w:r w:rsidR="008215ED" w:rsidRPr="00B17AA0">
        <w:rPr>
          <w:rFonts w:ascii="Times New Roman" w:hAnsi="Times New Roman" w:cs="Times New Roman"/>
          <w:sz w:val="24"/>
          <w:szCs w:val="24"/>
        </w:rPr>
        <w:t xml:space="preserve"> se gjat</w:t>
      </w:r>
      <w:r w:rsidR="00866C47" w:rsidRPr="00B17AA0">
        <w:rPr>
          <w:rFonts w:ascii="Times New Roman" w:hAnsi="Times New Roman" w:cs="Times New Roman"/>
          <w:sz w:val="24"/>
          <w:szCs w:val="24"/>
        </w:rPr>
        <w:t>ë</w:t>
      </w:r>
      <w:r w:rsidR="008215ED" w:rsidRPr="00B17AA0">
        <w:rPr>
          <w:rFonts w:ascii="Times New Roman" w:hAnsi="Times New Roman" w:cs="Times New Roman"/>
          <w:sz w:val="24"/>
          <w:szCs w:val="24"/>
        </w:rPr>
        <w:t xml:space="preserve"> </w:t>
      </w:r>
      <w:r w:rsidR="00156FEA" w:rsidRPr="00B17AA0">
        <w:rPr>
          <w:rFonts w:ascii="Times New Roman" w:hAnsi="Times New Roman" w:cs="Times New Roman"/>
          <w:sz w:val="24"/>
          <w:szCs w:val="24"/>
        </w:rPr>
        <w:t xml:space="preserve">procesi </w:t>
      </w:r>
      <w:r w:rsidR="008215ED" w:rsidRPr="00B17AA0">
        <w:rPr>
          <w:rFonts w:ascii="Times New Roman" w:hAnsi="Times New Roman" w:cs="Times New Roman"/>
          <w:sz w:val="24"/>
          <w:szCs w:val="24"/>
        </w:rPr>
        <w:t xml:space="preserve">të </w:t>
      </w:r>
      <w:r w:rsidR="00156FEA" w:rsidRPr="00B17AA0">
        <w:rPr>
          <w:rFonts w:ascii="Times New Roman" w:hAnsi="Times New Roman" w:cs="Times New Roman"/>
          <w:sz w:val="24"/>
          <w:szCs w:val="24"/>
        </w:rPr>
        <w:t xml:space="preserve"> rakordimit </w:t>
      </w:r>
      <w:r w:rsidR="008215ED" w:rsidRPr="00B17AA0">
        <w:rPr>
          <w:rFonts w:ascii="Times New Roman" w:hAnsi="Times New Roman" w:cs="Times New Roman"/>
          <w:sz w:val="24"/>
          <w:szCs w:val="24"/>
        </w:rPr>
        <w:t xml:space="preserve">kanë  rezultuar </w:t>
      </w:r>
      <w:r w:rsidR="00156FEA" w:rsidRPr="00B17AA0">
        <w:rPr>
          <w:rFonts w:ascii="Times New Roman" w:hAnsi="Times New Roman" w:cs="Times New Roman"/>
          <w:sz w:val="24"/>
          <w:szCs w:val="24"/>
        </w:rPr>
        <w:t xml:space="preserve"> k</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to diferenca:</w:t>
      </w:r>
      <w:r w:rsidR="008215ED" w:rsidRPr="00B17AA0">
        <w:rPr>
          <w:rFonts w:ascii="Times New Roman" w:hAnsi="Times New Roman" w:cs="Times New Roman"/>
          <w:sz w:val="24"/>
          <w:szCs w:val="24"/>
        </w:rPr>
        <w:t xml:space="preserve"> (i) shuma prej </w:t>
      </w:r>
      <w:r w:rsidR="00156FEA" w:rsidRPr="00B17AA0">
        <w:rPr>
          <w:rFonts w:ascii="Times New Roman" w:hAnsi="Times New Roman" w:cs="Times New Roman"/>
          <w:sz w:val="24"/>
          <w:szCs w:val="24"/>
        </w:rPr>
        <w:t>1,029,154</w:t>
      </w:r>
      <w:r w:rsidR="008215ED" w:rsidRPr="00B17AA0">
        <w:rPr>
          <w:rFonts w:ascii="Times New Roman" w:hAnsi="Times New Roman" w:cs="Times New Roman"/>
          <w:sz w:val="24"/>
          <w:szCs w:val="24"/>
        </w:rPr>
        <w:t xml:space="preserve"> mije</w:t>
      </w:r>
      <w:r w:rsidR="00156FEA" w:rsidRPr="00B17AA0">
        <w:rPr>
          <w:rFonts w:ascii="Times New Roman" w:hAnsi="Times New Roman" w:cs="Times New Roman"/>
          <w:sz w:val="24"/>
          <w:szCs w:val="24"/>
        </w:rPr>
        <w:t xml:space="preserve"> leke</w:t>
      </w:r>
      <w:r w:rsidR="008215ED" w:rsidRPr="00B17AA0">
        <w:rPr>
          <w:rFonts w:ascii="Times New Roman" w:hAnsi="Times New Roman" w:cs="Times New Roman"/>
          <w:sz w:val="24"/>
          <w:szCs w:val="24"/>
        </w:rPr>
        <w:t xml:space="preserve"> janë </w:t>
      </w:r>
      <w:r w:rsidR="0000793F" w:rsidRPr="00B17AA0">
        <w:rPr>
          <w:rFonts w:ascii="Times New Roman" w:hAnsi="Times New Roman" w:cs="Times New Roman"/>
          <w:sz w:val="24"/>
          <w:szCs w:val="24"/>
        </w:rPr>
        <w:t xml:space="preserve"> mbajtje fondesh</w:t>
      </w:r>
      <w:r w:rsidR="00156FEA" w:rsidRPr="00B17AA0">
        <w:rPr>
          <w:rFonts w:ascii="Times New Roman" w:hAnsi="Times New Roman" w:cs="Times New Roman"/>
          <w:sz w:val="24"/>
          <w:szCs w:val="24"/>
        </w:rPr>
        <w:t xml:space="preserve"> nga Post</w:t>
      </w:r>
      <w:r w:rsidR="008215ED" w:rsidRPr="00B17AA0">
        <w:rPr>
          <w:rFonts w:ascii="Times New Roman" w:hAnsi="Times New Roman" w:cs="Times New Roman"/>
          <w:sz w:val="24"/>
          <w:szCs w:val="24"/>
        </w:rPr>
        <w:t xml:space="preserve">a Shqiptare, (ii) shuma prej </w:t>
      </w:r>
      <w:r w:rsidR="00156FEA" w:rsidRPr="00B17AA0">
        <w:rPr>
          <w:rFonts w:ascii="Times New Roman" w:hAnsi="Times New Roman" w:cs="Times New Roman"/>
          <w:sz w:val="24"/>
          <w:szCs w:val="24"/>
        </w:rPr>
        <w:t>459,269</w:t>
      </w:r>
      <w:r w:rsidR="008215ED" w:rsidRPr="00B17AA0">
        <w:rPr>
          <w:rFonts w:ascii="Times New Roman" w:hAnsi="Times New Roman" w:cs="Times New Roman"/>
          <w:sz w:val="24"/>
          <w:szCs w:val="24"/>
        </w:rPr>
        <w:t xml:space="preserve"> mije</w:t>
      </w:r>
      <w:r w:rsidR="00156FEA" w:rsidRPr="00B17AA0">
        <w:rPr>
          <w:rFonts w:ascii="Times New Roman" w:hAnsi="Times New Roman" w:cs="Times New Roman"/>
          <w:sz w:val="24"/>
          <w:szCs w:val="24"/>
        </w:rPr>
        <w:t xml:space="preserve"> leke </w:t>
      </w:r>
      <w:r w:rsidR="008215ED" w:rsidRPr="00B17AA0">
        <w:rPr>
          <w:rFonts w:ascii="Times New Roman" w:hAnsi="Times New Roman" w:cs="Times New Roman"/>
          <w:sz w:val="24"/>
          <w:szCs w:val="24"/>
        </w:rPr>
        <w:t xml:space="preserve">janë </w:t>
      </w:r>
      <w:r w:rsidR="00156FEA" w:rsidRPr="00B17AA0">
        <w:rPr>
          <w:rFonts w:ascii="Times New Roman" w:hAnsi="Times New Roman" w:cs="Times New Roman"/>
          <w:sz w:val="24"/>
          <w:szCs w:val="24"/>
        </w:rPr>
        <w:t>fatura sh</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rbimi t</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 xml:space="preserve"> Post</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 xml:space="preserve">s  </w:t>
      </w:r>
      <w:r w:rsidR="00156FEA" w:rsidRPr="00B17AA0">
        <w:rPr>
          <w:rFonts w:ascii="Times New Roman" w:hAnsi="Times New Roman" w:cs="Times New Roman"/>
          <w:i/>
          <w:sz w:val="24"/>
          <w:szCs w:val="24"/>
        </w:rPr>
        <w:t>(komisionim , sh</w:t>
      </w:r>
      <w:r w:rsidR="008215ED" w:rsidRPr="00B17AA0">
        <w:rPr>
          <w:rFonts w:ascii="Times New Roman" w:hAnsi="Times New Roman" w:cs="Times New Roman"/>
          <w:i/>
          <w:sz w:val="24"/>
          <w:szCs w:val="24"/>
        </w:rPr>
        <w:t>ë</w:t>
      </w:r>
      <w:r w:rsidR="00156FEA" w:rsidRPr="00B17AA0">
        <w:rPr>
          <w:rFonts w:ascii="Times New Roman" w:hAnsi="Times New Roman" w:cs="Times New Roman"/>
          <w:i/>
          <w:sz w:val="24"/>
          <w:szCs w:val="24"/>
        </w:rPr>
        <w:t>rbim, shp</w:t>
      </w:r>
      <w:r w:rsidR="008215ED" w:rsidRPr="00B17AA0">
        <w:rPr>
          <w:rFonts w:ascii="Times New Roman" w:hAnsi="Times New Roman" w:cs="Times New Roman"/>
          <w:i/>
          <w:sz w:val="24"/>
          <w:szCs w:val="24"/>
        </w:rPr>
        <w:t>ë</w:t>
      </w:r>
      <w:r w:rsidR="00156FEA" w:rsidRPr="00B17AA0">
        <w:rPr>
          <w:rFonts w:ascii="Times New Roman" w:hAnsi="Times New Roman" w:cs="Times New Roman"/>
          <w:i/>
          <w:sz w:val="24"/>
          <w:szCs w:val="24"/>
        </w:rPr>
        <w:t>rndarje fature)</w:t>
      </w:r>
      <w:r w:rsidR="00156FEA" w:rsidRPr="00B17AA0">
        <w:rPr>
          <w:rFonts w:ascii="Times New Roman" w:hAnsi="Times New Roman" w:cs="Times New Roman"/>
          <w:sz w:val="24"/>
          <w:szCs w:val="24"/>
        </w:rPr>
        <w:t xml:space="preserve"> t</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 xml:space="preserve"> pambritura n</w:t>
      </w:r>
      <w:r w:rsidR="008215ED" w:rsidRPr="00B17AA0">
        <w:rPr>
          <w:rFonts w:ascii="Times New Roman" w:hAnsi="Times New Roman" w:cs="Times New Roman"/>
          <w:sz w:val="24"/>
          <w:szCs w:val="24"/>
        </w:rPr>
        <w:t>ë</w:t>
      </w:r>
      <w:r w:rsidR="00156FEA" w:rsidRPr="00B17AA0">
        <w:rPr>
          <w:rFonts w:ascii="Times New Roman" w:hAnsi="Times New Roman" w:cs="Times New Roman"/>
          <w:sz w:val="24"/>
          <w:szCs w:val="24"/>
        </w:rPr>
        <w:t xml:space="preserve"> OSHEE ( ish</w:t>
      </w:r>
      <w:r w:rsidR="008215ED" w:rsidRPr="00B17AA0">
        <w:rPr>
          <w:rFonts w:ascii="Times New Roman" w:hAnsi="Times New Roman" w:cs="Times New Roman"/>
          <w:sz w:val="24"/>
          <w:szCs w:val="24"/>
        </w:rPr>
        <w:t>-</w:t>
      </w:r>
      <w:r w:rsidR="00156FEA" w:rsidRPr="00B17AA0">
        <w:rPr>
          <w:rFonts w:ascii="Times New Roman" w:hAnsi="Times New Roman" w:cs="Times New Roman"/>
          <w:sz w:val="24"/>
          <w:szCs w:val="24"/>
        </w:rPr>
        <w:t xml:space="preserve"> </w:t>
      </w:r>
      <w:r w:rsidR="008215ED" w:rsidRPr="00B17AA0">
        <w:rPr>
          <w:rFonts w:ascii="Times New Roman" w:hAnsi="Times New Roman" w:cs="Times New Roman"/>
          <w:sz w:val="24"/>
          <w:szCs w:val="24"/>
        </w:rPr>
        <w:t>Ç</w:t>
      </w:r>
      <w:r w:rsidR="00156FEA" w:rsidRPr="00B17AA0">
        <w:rPr>
          <w:rFonts w:ascii="Times New Roman" w:hAnsi="Times New Roman" w:cs="Times New Roman"/>
          <w:sz w:val="24"/>
          <w:szCs w:val="24"/>
        </w:rPr>
        <w:t>ez</w:t>
      </w:r>
      <w:r w:rsidR="008215ED" w:rsidRPr="00B17AA0">
        <w:rPr>
          <w:rFonts w:ascii="Times New Roman" w:hAnsi="Times New Roman" w:cs="Times New Roman"/>
          <w:sz w:val="24"/>
          <w:szCs w:val="24"/>
        </w:rPr>
        <w:t>-Shperndarje</w:t>
      </w:r>
      <w:r w:rsidR="00156FEA" w:rsidRPr="00B17AA0">
        <w:rPr>
          <w:rFonts w:ascii="Times New Roman" w:hAnsi="Times New Roman" w:cs="Times New Roman"/>
          <w:sz w:val="24"/>
          <w:szCs w:val="24"/>
        </w:rPr>
        <w:t>),</w:t>
      </w:r>
      <w:r w:rsidR="008215ED" w:rsidRPr="00B17AA0">
        <w:rPr>
          <w:rFonts w:ascii="Times New Roman" w:hAnsi="Times New Roman" w:cs="Times New Roman"/>
          <w:sz w:val="24"/>
          <w:szCs w:val="24"/>
        </w:rPr>
        <w:t xml:space="preserve">(iii)shumaprej </w:t>
      </w:r>
      <w:r w:rsidR="00156FEA" w:rsidRPr="00B17AA0">
        <w:rPr>
          <w:rFonts w:ascii="Times New Roman" w:hAnsi="Times New Roman" w:cs="Times New Roman"/>
          <w:sz w:val="24"/>
          <w:szCs w:val="24"/>
        </w:rPr>
        <w:t>65,167</w:t>
      </w:r>
      <w:r w:rsidR="008215ED" w:rsidRPr="00B17AA0">
        <w:rPr>
          <w:rFonts w:ascii="Times New Roman" w:hAnsi="Times New Roman" w:cs="Times New Roman"/>
          <w:sz w:val="24"/>
          <w:szCs w:val="24"/>
        </w:rPr>
        <w:t>.</w:t>
      </w:r>
      <w:r w:rsidR="00156FEA" w:rsidRPr="00B17AA0">
        <w:rPr>
          <w:rFonts w:ascii="Times New Roman" w:hAnsi="Times New Roman" w:cs="Times New Roman"/>
          <w:sz w:val="24"/>
          <w:szCs w:val="24"/>
        </w:rPr>
        <w:t>9</w:t>
      </w:r>
      <w:r w:rsidR="00765C80">
        <w:rPr>
          <w:rFonts w:ascii="Times New Roman" w:hAnsi="Times New Roman" w:cs="Times New Roman"/>
          <w:sz w:val="24"/>
          <w:szCs w:val="24"/>
        </w:rPr>
        <w:t>mije</w:t>
      </w:r>
      <w:r w:rsidR="00156FEA" w:rsidRPr="00B17AA0">
        <w:rPr>
          <w:rFonts w:ascii="Times New Roman" w:hAnsi="Times New Roman" w:cs="Times New Roman"/>
          <w:sz w:val="24"/>
          <w:szCs w:val="24"/>
        </w:rPr>
        <w:t>leke fatura t</w:t>
      </w:r>
      <w:r w:rsidR="008215ED" w:rsidRPr="00B17AA0">
        <w:rPr>
          <w:rFonts w:ascii="Times New Roman" w:hAnsi="Times New Roman" w:cs="Times New Roman"/>
          <w:sz w:val="24"/>
          <w:szCs w:val="24"/>
        </w:rPr>
        <w:t>ë</w:t>
      </w:r>
      <w:r w:rsidR="00433371" w:rsidRPr="00B17AA0">
        <w:rPr>
          <w:rFonts w:ascii="Times New Roman" w:hAnsi="Times New Roman" w:cs="Times New Roman"/>
          <w:sz w:val="24"/>
          <w:szCs w:val="24"/>
        </w:rPr>
        <w:t xml:space="preserve"> parakorduar</w:t>
      </w:r>
      <w:r w:rsidR="00765C80">
        <w:rPr>
          <w:rFonts w:ascii="Times New Roman" w:hAnsi="Times New Roman" w:cs="Times New Roman"/>
          <w:sz w:val="24"/>
          <w:szCs w:val="24"/>
        </w:rPr>
        <w:t xml:space="preserve"> </w:t>
      </w:r>
      <w:r w:rsidR="00433371" w:rsidRPr="00B17AA0">
        <w:rPr>
          <w:rFonts w:ascii="Times New Roman" w:hAnsi="Times New Roman" w:cs="Times New Roman"/>
          <w:sz w:val="24"/>
          <w:szCs w:val="24"/>
        </w:rPr>
        <w:t>(</w:t>
      </w:r>
      <w:r w:rsidR="00156FEA" w:rsidRPr="00B17AA0">
        <w:rPr>
          <w:rFonts w:ascii="Times New Roman" w:hAnsi="Times New Roman" w:cs="Times New Roman"/>
          <w:i/>
          <w:sz w:val="24"/>
          <w:szCs w:val="24"/>
        </w:rPr>
        <w:t>dubluara</w:t>
      </w:r>
      <w:r w:rsidR="00433371" w:rsidRPr="00B17AA0">
        <w:rPr>
          <w:rFonts w:ascii="Times New Roman" w:hAnsi="Times New Roman" w:cs="Times New Roman"/>
          <w:i/>
          <w:sz w:val="24"/>
          <w:szCs w:val="24"/>
        </w:rPr>
        <w:t>,</w:t>
      </w:r>
      <w:r w:rsidR="00156FEA" w:rsidRPr="00B17AA0">
        <w:rPr>
          <w:rFonts w:ascii="Times New Roman" w:hAnsi="Times New Roman" w:cs="Times New Roman"/>
          <w:i/>
          <w:sz w:val="24"/>
          <w:szCs w:val="24"/>
        </w:rPr>
        <w:t xml:space="preserve">Posta ka </w:t>
      </w:r>
      <w:r w:rsidR="008215ED" w:rsidRPr="00B17AA0">
        <w:rPr>
          <w:rFonts w:ascii="Times New Roman" w:hAnsi="Times New Roman" w:cs="Times New Roman"/>
          <w:i/>
          <w:sz w:val="24"/>
          <w:szCs w:val="24"/>
        </w:rPr>
        <w:t xml:space="preserve">faturuar dyherë </w:t>
      </w:r>
      <w:r w:rsidR="00156FEA" w:rsidRPr="00B17AA0">
        <w:rPr>
          <w:rFonts w:ascii="Times New Roman" w:hAnsi="Times New Roman" w:cs="Times New Roman"/>
          <w:i/>
          <w:sz w:val="24"/>
          <w:szCs w:val="24"/>
        </w:rPr>
        <w:t>p</w:t>
      </w:r>
      <w:r w:rsidR="008215ED" w:rsidRPr="00B17AA0">
        <w:rPr>
          <w:rFonts w:ascii="Times New Roman" w:hAnsi="Times New Roman" w:cs="Times New Roman"/>
          <w:i/>
          <w:sz w:val="24"/>
          <w:szCs w:val="24"/>
        </w:rPr>
        <w:t>ë</w:t>
      </w:r>
      <w:r w:rsidR="00156FEA" w:rsidRPr="00B17AA0">
        <w:rPr>
          <w:rFonts w:ascii="Times New Roman" w:hAnsi="Times New Roman" w:cs="Times New Roman"/>
          <w:i/>
          <w:sz w:val="24"/>
          <w:szCs w:val="24"/>
        </w:rPr>
        <w:t>r t</w:t>
      </w:r>
      <w:r w:rsidR="008215ED" w:rsidRPr="00B17AA0">
        <w:rPr>
          <w:rFonts w:ascii="Times New Roman" w:hAnsi="Times New Roman" w:cs="Times New Roman"/>
          <w:i/>
          <w:sz w:val="24"/>
          <w:szCs w:val="24"/>
        </w:rPr>
        <w:t>ë</w:t>
      </w:r>
      <w:r w:rsidR="00156FEA" w:rsidRPr="00B17AA0">
        <w:rPr>
          <w:rFonts w:ascii="Times New Roman" w:hAnsi="Times New Roman" w:cs="Times New Roman"/>
          <w:i/>
          <w:sz w:val="24"/>
          <w:szCs w:val="24"/>
        </w:rPr>
        <w:t xml:space="preserve"> nj</w:t>
      </w:r>
      <w:r w:rsidR="008215ED" w:rsidRPr="00B17AA0">
        <w:rPr>
          <w:rFonts w:ascii="Times New Roman" w:hAnsi="Times New Roman" w:cs="Times New Roman"/>
          <w:i/>
          <w:sz w:val="24"/>
          <w:szCs w:val="24"/>
        </w:rPr>
        <w:t>ë</w:t>
      </w:r>
      <w:r w:rsidR="00156FEA" w:rsidRPr="00B17AA0">
        <w:rPr>
          <w:rFonts w:ascii="Times New Roman" w:hAnsi="Times New Roman" w:cs="Times New Roman"/>
          <w:i/>
          <w:sz w:val="24"/>
          <w:szCs w:val="24"/>
        </w:rPr>
        <w:t>jtin muaj</w:t>
      </w:r>
      <w:r w:rsidR="00156FEA" w:rsidRPr="00B17AA0">
        <w:rPr>
          <w:rFonts w:ascii="Times New Roman" w:hAnsi="Times New Roman" w:cs="Times New Roman"/>
          <w:sz w:val="24"/>
          <w:szCs w:val="24"/>
        </w:rPr>
        <w:t xml:space="preserve">).  </w:t>
      </w:r>
      <w:r w:rsidR="008215ED" w:rsidRPr="00B17AA0">
        <w:rPr>
          <w:rFonts w:ascii="Times New Roman" w:hAnsi="Times New Roman" w:cs="Times New Roman"/>
          <w:sz w:val="24"/>
          <w:szCs w:val="24"/>
        </w:rPr>
        <w:t>Pra, n</w:t>
      </w:r>
      <w:r w:rsidRPr="00B17AA0">
        <w:rPr>
          <w:rFonts w:ascii="Times New Roman" w:hAnsi="Times New Roman" w:cs="Times New Roman"/>
          <w:sz w:val="24"/>
          <w:szCs w:val="24"/>
        </w:rPr>
        <w:t>ga krahasimi i të pagueshmeve tregtare më 31 dhjetor 2014 midis konfirmimeve të Posta Shqiptare dhe kontabilitetit të</w:t>
      </w:r>
      <w:r w:rsidR="00975154" w:rsidRPr="00B17AA0">
        <w:rPr>
          <w:rFonts w:ascii="Times New Roman" w:hAnsi="Times New Roman" w:cs="Times New Roman"/>
          <w:sz w:val="24"/>
          <w:szCs w:val="24"/>
        </w:rPr>
        <w:t xml:space="preserve"> Shoqërisë</w:t>
      </w:r>
      <w:r w:rsidR="00433371" w:rsidRPr="00B17AA0">
        <w:rPr>
          <w:rFonts w:ascii="Times New Roman" w:hAnsi="Times New Roman" w:cs="Times New Roman"/>
          <w:sz w:val="24"/>
          <w:szCs w:val="24"/>
        </w:rPr>
        <w:t xml:space="preserve">, </w:t>
      </w:r>
      <w:r w:rsidR="00975154" w:rsidRPr="00B17AA0">
        <w:rPr>
          <w:rFonts w:ascii="Times New Roman" w:hAnsi="Times New Roman" w:cs="Times New Roman"/>
          <w:sz w:val="24"/>
          <w:szCs w:val="24"/>
        </w:rPr>
        <w:t xml:space="preserve">ka mospërputhje prej </w:t>
      </w:r>
      <w:r w:rsidRPr="00B17AA0">
        <w:rPr>
          <w:rFonts w:ascii="Times New Roman" w:hAnsi="Times New Roman" w:cs="Times New Roman"/>
          <w:sz w:val="24"/>
          <w:szCs w:val="24"/>
        </w:rPr>
        <w:t>898,740,2</w:t>
      </w:r>
      <w:r w:rsidR="00433371" w:rsidRPr="00B17AA0">
        <w:rPr>
          <w:rFonts w:ascii="Times New Roman" w:hAnsi="Times New Roman" w:cs="Times New Roman"/>
          <w:sz w:val="24"/>
          <w:szCs w:val="24"/>
        </w:rPr>
        <w:t xml:space="preserve"> </w:t>
      </w:r>
      <w:r w:rsidRPr="00B17AA0">
        <w:rPr>
          <w:rFonts w:ascii="Times New Roman" w:hAnsi="Times New Roman" w:cs="Times New Roman"/>
          <w:sz w:val="24"/>
          <w:szCs w:val="24"/>
        </w:rPr>
        <w:t>mijë lekësh.Këto mospërputhje i referohen faktit që Posta i ka mbajtur Shoqërisë një pjesë të arkëtimeve që mbledh nga faturat e energjisë elektrike si kompensim të detyrimeve që ka Shoqëria</w:t>
      </w:r>
      <w:r w:rsidR="00156FEA" w:rsidRPr="00B17AA0">
        <w:rPr>
          <w:rFonts w:ascii="Times New Roman" w:hAnsi="Times New Roman" w:cs="Times New Roman"/>
          <w:sz w:val="24"/>
          <w:szCs w:val="24"/>
        </w:rPr>
        <w:t>.</w:t>
      </w:r>
      <w:r w:rsidRPr="00B17AA0">
        <w:rPr>
          <w:rFonts w:ascii="Times New Roman" w:hAnsi="Times New Roman" w:cs="Times New Roman"/>
          <w:sz w:val="24"/>
          <w:szCs w:val="24"/>
        </w:rPr>
        <w:t>Posta Shqiptare sh.a nuk e njofton Shoqërinë për shumat e mbajtura nga arkëtimet e faturave të energjisë për mbylljen e detyrimeve dhe si rrjedhim në konta</w:t>
      </w:r>
      <w:bookmarkStart w:id="0" w:name="_GoBack"/>
      <w:bookmarkEnd w:id="0"/>
      <w:r w:rsidRPr="00B17AA0">
        <w:rPr>
          <w:rFonts w:ascii="Times New Roman" w:hAnsi="Times New Roman" w:cs="Times New Roman"/>
          <w:sz w:val="24"/>
          <w:szCs w:val="24"/>
        </w:rPr>
        <w:t>bilitetin e Shoqërisë këto veprime nuk gjejnë pasqyrim.</w:t>
      </w:r>
      <w:r w:rsidR="00C748BC" w:rsidRPr="00B17AA0">
        <w:rPr>
          <w:rFonts w:ascii="Times New Roman" w:hAnsi="Times New Roman" w:cs="Times New Roman"/>
          <w:sz w:val="24"/>
          <w:szCs w:val="24"/>
        </w:rPr>
        <w:t xml:space="preserve"> </w:t>
      </w:r>
      <w:r w:rsidRPr="00B17AA0">
        <w:rPr>
          <w:rFonts w:ascii="Times New Roman" w:hAnsi="Times New Roman" w:cs="Times New Roman"/>
          <w:sz w:val="24"/>
          <w:szCs w:val="24"/>
        </w:rPr>
        <w:t>Po kështu nuk rezulton që vitet e fundit të jetë kryer ndonjë rakordim me Postën Shqiptare sh.a. për sqarimin e këtyre transaksioneve.Si rrjedhim, ne nuk ishim në gjëndje të siguronim evidencë të mjaftueshme dhe të përshtatshme auditimi për t</w:t>
      </w:r>
      <w:r w:rsidR="00975154" w:rsidRPr="00B17AA0">
        <w:rPr>
          <w:rFonts w:ascii="Times New Roman" w:hAnsi="Times New Roman" w:cs="Times New Roman"/>
          <w:sz w:val="24"/>
          <w:szCs w:val="24"/>
        </w:rPr>
        <w:t>ë</w:t>
      </w:r>
      <w:r w:rsidRPr="00B17AA0">
        <w:rPr>
          <w:rFonts w:ascii="Times New Roman" w:hAnsi="Times New Roman" w:cs="Times New Roman"/>
          <w:sz w:val="24"/>
          <w:szCs w:val="24"/>
        </w:rPr>
        <w:t xml:space="preserve"> arritur në konkluzionin nëse detyrimet tregtare ndaj Postës Shqiptare sh.a më 31 dhjetor 2014 janë raportuar saktë. </w:t>
      </w:r>
    </w:p>
    <w:p w:rsidR="00586B49" w:rsidRPr="00B17AA0" w:rsidRDefault="00586B49" w:rsidP="004A50B2">
      <w:pPr>
        <w:contextualSpacing/>
        <w:rPr>
          <w:rFonts w:ascii="Times New Roman" w:hAnsi="Times New Roman"/>
          <w:sz w:val="24"/>
          <w:szCs w:val="24"/>
        </w:rPr>
      </w:pPr>
    </w:p>
    <w:p w:rsidR="00586B49" w:rsidRPr="00B17AA0" w:rsidRDefault="00AB5C5C" w:rsidP="004A50B2">
      <w:pPr>
        <w:contextualSpacing/>
        <w:rPr>
          <w:rFonts w:ascii="Times New Roman" w:hAnsi="Times New Roman"/>
          <w:b/>
          <w:sz w:val="24"/>
          <w:szCs w:val="24"/>
        </w:rPr>
      </w:pPr>
      <w:r w:rsidRPr="00B17AA0">
        <w:rPr>
          <w:rFonts w:ascii="Times New Roman" w:hAnsi="Times New Roman"/>
          <w:b/>
          <w:sz w:val="24"/>
          <w:szCs w:val="24"/>
        </w:rPr>
        <w:t xml:space="preserve">Refuzim i Dhënies së Opinionit </w:t>
      </w:r>
    </w:p>
    <w:p w:rsidR="00586B49" w:rsidRPr="00B17AA0" w:rsidRDefault="00AB5C5C" w:rsidP="004A50B2">
      <w:pPr>
        <w:contextualSpacing/>
        <w:rPr>
          <w:rFonts w:ascii="Times New Roman" w:hAnsi="Times New Roman"/>
          <w:sz w:val="24"/>
          <w:szCs w:val="24"/>
        </w:rPr>
      </w:pPr>
      <w:r w:rsidRPr="00B17AA0">
        <w:rPr>
          <w:rFonts w:ascii="Times New Roman" w:hAnsi="Times New Roman"/>
          <w:sz w:val="24"/>
          <w:szCs w:val="24"/>
        </w:rPr>
        <w:t>Për shkak të rëndësisë së çështjeve të përshkruara në paragrafin per "Bazat e refuzimit të dhënies së opinionit", ne nuk kemi qënë në gjëndje të sigurojmë evidencë të nevojshme auditimi për të bazuar opinionin tonë. Rrjedhimisht, ne nuk shprehim një opinion mbi Pasqyra Financiare</w:t>
      </w:r>
      <w:r w:rsidR="00587CD6" w:rsidRPr="00B17AA0">
        <w:rPr>
          <w:rFonts w:ascii="Times New Roman" w:hAnsi="Times New Roman"/>
          <w:sz w:val="24"/>
          <w:szCs w:val="24"/>
        </w:rPr>
        <w:t xml:space="preserve"> t</w:t>
      </w:r>
      <w:r w:rsidR="003B795F" w:rsidRPr="00B17AA0">
        <w:rPr>
          <w:rFonts w:ascii="Times New Roman" w:hAnsi="Times New Roman"/>
          <w:sz w:val="24"/>
          <w:szCs w:val="24"/>
        </w:rPr>
        <w:t>ë</w:t>
      </w:r>
      <w:r w:rsidR="00587CD6" w:rsidRPr="00B17AA0">
        <w:rPr>
          <w:rFonts w:ascii="Times New Roman" w:hAnsi="Times New Roman"/>
          <w:sz w:val="24"/>
          <w:szCs w:val="24"/>
        </w:rPr>
        <w:t xml:space="preserve"> vitit 2014</w:t>
      </w:r>
      <w:r w:rsidRPr="00B17AA0">
        <w:rPr>
          <w:rFonts w:ascii="Times New Roman" w:hAnsi="Times New Roman"/>
          <w:sz w:val="24"/>
          <w:szCs w:val="24"/>
        </w:rPr>
        <w:t xml:space="preserve">. </w:t>
      </w:r>
    </w:p>
    <w:p w:rsidR="00FB4682" w:rsidRPr="00B17AA0" w:rsidRDefault="00FB4682" w:rsidP="004A50B2">
      <w:pPr>
        <w:contextualSpacing/>
        <w:rPr>
          <w:rFonts w:ascii="Times New Roman" w:hAnsi="Times New Roman"/>
          <w:b/>
          <w:sz w:val="24"/>
          <w:szCs w:val="24"/>
        </w:rPr>
      </w:pPr>
    </w:p>
    <w:p w:rsidR="00586B49" w:rsidRPr="00B17AA0" w:rsidRDefault="00AB5C5C" w:rsidP="004A50B2">
      <w:pPr>
        <w:contextualSpacing/>
        <w:rPr>
          <w:rFonts w:ascii="Times New Roman" w:hAnsi="Times New Roman"/>
          <w:b/>
          <w:sz w:val="24"/>
          <w:szCs w:val="24"/>
        </w:rPr>
      </w:pPr>
      <w:r w:rsidRPr="00B17AA0">
        <w:rPr>
          <w:rFonts w:ascii="Times New Roman" w:hAnsi="Times New Roman"/>
          <w:b/>
          <w:sz w:val="24"/>
          <w:szCs w:val="24"/>
        </w:rPr>
        <w:t xml:space="preserve">Theksim i </w:t>
      </w:r>
      <w:r w:rsidR="003B795F" w:rsidRPr="00B17AA0">
        <w:rPr>
          <w:rFonts w:ascii="Times New Roman" w:hAnsi="Times New Roman"/>
          <w:b/>
          <w:sz w:val="24"/>
          <w:szCs w:val="24"/>
        </w:rPr>
        <w:t>ç</w:t>
      </w:r>
      <w:r w:rsidRPr="00B17AA0">
        <w:rPr>
          <w:rFonts w:ascii="Times New Roman" w:hAnsi="Times New Roman"/>
          <w:b/>
          <w:sz w:val="24"/>
          <w:szCs w:val="24"/>
        </w:rPr>
        <w:t xml:space="preserve">ështjeve </w:t>
      </w:r>
    </w:p>
    <w:p w:rsidR="00FB4682" w:rsidRPr="00B17AA0" w:rsidRDefault="00AB5C5C" w:rsidP="004A50B2">
      <w:pPr>
        <w:contextualSpacing/>
        <w:rPr>
          <w:rFonts w:ascii="Times New Roman" w:hAnsi="Times New Roman"/>
          <w:sz w:val="24"/>
          <w:szCs w:val="24"/>
        </w:rPr>
      </w:pPr>
      <w:r w:rsidRPr="00B17AA0">
        <w:rPr>
          <w:rFonts w:ascii="Times New Roman" w:hAnsi="Times New Roman"/>
          <w:sz w:val="24"/>
          <w:szCs w:val="24"/>
        </w:rPr>
        <w:t xml:space="preserve">Pa </w:t>
      </w:r>
      <w:r w:rsidR="00FB4682" w:rsidRPr="00B17AA0">
        <w:rPr>
          <w:rFonts w:ascii="Times New Roman" w:hAnsi="Times New Roman"/>
          <w:sz w:val="24"/>
          <w:szCs w:val="24"/>
        </w:rPr>
        <w:t>dashur të shtonin problemet n</w:t>
      </w:r>
      <w:r w:rsidRPr="00B17AA0">
        <w:rPr>
          <w:rFonts w:ascii="Times New Roman" w:hAnsi="Times New Roman"/>
          <w:sz w:val="24"/>
          <w:szCs w:val="24"/>
        </w:rPr>
        <w:t>ë opinion, tërheqim vëmendjen</w:t>
      </w:r>
      <w:r w:rsidR="00FB4682" w:rsidRPr="00B17AA0">
        <w:rPr>
          <w:rFonts w:ascii="Times New Roman" w:hAnsi="Times New Roman"/>
          <w:sz w:val="24"/>
          <w:szCs w:val="24"/>
        </w:rPr>
        <w:t>:Në</w:t>
      </w:r>
      <w:r w:rsidRPr="00B17AA0">
        <w:rPr>
          <w:rFonts w:ascii="Times New Roman" w:hAnsi="Times New Roman"/>
          <w:sz w:val="24"/>
          <w:szCs w:val="24"/>
        </w:rPr>
        <w:t xml:space="preserve"> Shënimin 5 i cili përcakton se çertifikatat e pronësisë së tokave dhe ndërtesave të Shoqërisë, të cilat duhet të tranferoheshin nga Korporata Elektroenergjitike Shqiptare sh.a., gjatë momentit të shpërndarjes së Shoqërisë ende nuk janë finalizuar. Rrjedhimisht, këto toka dhe ndërtesa nuk janë regjistruar në mënyrë të rregullt në Regjistrin e Hipotekës.</w:t>
      </w:r>
    </w:p>
    <w:p w:rsidR="00AB5C5C" w:rsidRPr="00B17AA0" w:rsidRDefault="00AB5C5C" w:rsidP="00765C80">
      <w:pPr>
        <w:ind w:left="413"/>
        <w:contextualSpacing/>
        <w:rPr>
          <w:rFonts w:ascii="Times New Roman" w:hAnsi="Times New Roman"/>
          <w:b/>
          <w:sz w:val="24"/>
          <w:szCs w:val="24"/>
        </w:rPr>
      </w:pPr>
      <w:r w:rsidRPr="00B17AA0">
        <w:rPr>
          <w:rFonts w:ascii="Times New Roman" w:hAnsi="Times New Roman"/>
          <w:sz w:val="24"/>
          <w:szCs w:val="24"/>
        </w:rPr>
        <w:t xml:space="preserve"> </w:t>
      </w:r>
    </w:p>
    <w:p w:rsidR="00586B49" w:rsidRPr="00B17AA0" w:rsidRDefault="00AB5C5C" w:rsidP="004A50B2">
      <w:pPr>
        <w:contextualSpacing/>
        <w:rPr>
          <w:rFonts w:ascii="Times New Roman" w:hAnsi="Times New Roman"/>
          <w:b/>
          <w:sz w:val="24"/>
          <w:szCs w:val="24"/>
        </w:rPr>
      </w:pPr>
      <w:r w:rsidRPr="00B17AA0">
        <w:rPr>
          <w:rFonts w:ascii="Times New Roman" w:hAnsi="Times New Roman"/>
          <w:b/>
          <w:sz w:val="24"/>
          <w:szCs w:val="24"/>
        </w:rPr>
        <w:t>Ekspertë Kontabël të Regjistruar (EKR/CPA)</w:t>
      </w:r>
    </w:p>
    <w:p w:rsidR="00586B49" w:rsidRPr="00B17AA0" w:rsidRDefault="00CA7676" w:rsidP="004A50B2">
      <w:pPr>
        <w:contextualSpacing/>
        <w:rPr>
          <w:rFonts w:ascii="Times New Roman" w:hAnsi="Times New Roman"/>
          <w:bCs/>
          <w:sz w:val="24"/>
          <w:szCs w:val="24"/>
        </w:rPr>
      </w:pPr>
      <w:r w:rsidRPr="00B17AA0">
        <w:rPr>
          <w:rFonts w:ascii="Times New Roman" w:hAnsi="Times New Roman"/>
          <w:noProof/>
          <w:sz w:val="24"/>
          <w:szCs w:val="24"/>
        </w:rPr>
        <w:drawing>
          <wp:inline distT="0" distB="0" distL="0" distR="0">
            <wp:extent cx="5481955" cy="628650"/>
            <wp:effectExtent l="19050" t="0" r="444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81955" cy="628650"/>
                    </a:xfrm>
                    <a:prstGeom prst="rect">
                      <a:avLst/>
                    </a:prstGeom>
                    <a:noFill/>
                    <a:ln w="9525">
                      <a:noFill/>
                      <a:miter lim="800000"/>
                      <a:headEnd/>
                      <a:tailEnd/>
                    </a:ln>
                  </pic:spPr>
                </pic:pic>
              </a:graphicData>
            </a:graphic>
          </wp:inline>
        </w:drawing>
      </w:r>
      <w:r w:rsidR="00AB5C5C" w:rsidRPr="00B17AA0">
        <w:rPr>
          <w:rFonts w:ascii="Times New Roman" w:hAnsi="Times New Roman"/>
          <w:bCs/>
          <w:sz w:val="24"/>
          <w:szCs w:val="24"/>
        </w:rPr>
        <w:t xml:space="preserve">                                                          </w:t>
      </w:r>
    </w:p>
    <w:p w:rsidR="00A8125B" w:rsidRPr="00B17AA0" w:rsidRDefault="00A8125B" w:rsidP="004A50B2">
      <w:pPr>
        <w:contextualSpacing/>
        <w:rPr>
          <w:rFonts w:ascii="Times New Roman" w:hAnsi="Times New Roman"/>
          <w:sz w:val="24"/>
          <w:szCs w:val="24"/>
        </w:rPr>
      </w:pPr>
    </w:p>
    <w:p w:rsidR="00A8125B" w:rsidRPr="00B17AA0" w:rsidRDefault="00A8125B" w:rsidP="004A50B2">
      <w:pPr>
        <w:contextualSpacing/>
        <w:rPr>
          <w:rFonts w:ascii="Times New Roman" w:hAnsi="Times New Roman"/>
          <w:sz w:val="24"/>
          <w:szCs w:val="24"/>
        </w:rPr>
      </w:pPr>
    </w:p>
    <w:p w:rsidR="00A8125B" w:rsidRPr="00B17AA0" w:rsidRDefault="00A8125B" w:rsidP="004A50B2">
      <w:pPr>
        <w:contextualSpacing/>
        <w:rPr>
          <w:rFonts w:ascii="Times New Roman" w:hAnsi="Times New Roman"/>
          <w:sz w:val="24"/>
          <w:szCs w:val="24"/>
        </w:rPr>
      </w:pPr>
    </w:p>
    <w:p w:rsidR="00A8125B" w:rsidRPr="00B17AA0" w:rsidRDefault="00A8125B" w:rsidP="00FB4682">
      <w:pPr>
        <w:contextualSpacing/>
        <w:jc w:val="both"/>
        <w:rPr>
          <w:rFonts w:ascii="Times New Roman" w:hAnsi="Times New Roman"/>
          <w:sz w:val="24"/>
          <w:szCs w:val="24"/>
        </w:rPr>
      </w:pPr>
    </w:p>
    <w:p w:rsidR="00586B49" w:rsidRPr="00B17AA0" w:rsidRDefault="00AB5C5C" w:rsidP="00FB4682">
      <w:pPr>
        <w:contextualSpacing/>
        <w:jc w:val="both"/>
        <w:rPr>
          <w:rFonts w:ascii="Times New Roman" w:hAnsi="Times New Roman"/>
          <w:sz w:val="24"/>
          <w:szCs w:val="24"/>
        </w:rPr>
      </w:pPr>
      <w:r w:rsidRPr="00B17AA0">
        <w:rPr>
          <w:rFonts w:ascii="Times New Roman" w:hAnsi="Times New Roman"/>
          <w:sz w:val="24"/>
          <w:szCs w:val="24"/>
        </w:rPr>
        <w:t>Tirane, më</w:t>
      </w:r>
      <w:r w:rsidR="00AA1F87">
        <w:rPr>
          <w:rFonts w:ascii="Times New Roman" w:hAnsi="Times New Roman"/>
          <w:sz w:val="24"/>
          <w:szCs w:val="24"/>
        </w:rPr>
        <w:t xml:space="preserve"> 20</w:t>
      </w:r>
      <w:r w:rsidRPr="00B17AA0">
        <w:rPr>
          <w:rFonts w:ascii="Times New Roman" w:hAnsi="Times New Roman"/>
          <w:sz w:val="24"/>
          <w:szCs w:val="24"/>
        </w:rPr>
        <w:t>/</w:t>
      </w:r>
      <w:r w:rsidR="00AA1F87">
        <w:rPr>
          <w:rFonts w:ascii="Times New Roman" w:hAnsi="Times New Roman"/>
          <w:sz w:val="24"/>
          <w:szCs w:val="24"/>
        </w:rPr>
        <w:t>07</w:t>
      </w:r>
      <w:r w:rsidRPr="00B17AA0">
        <w:rPr>
          <w:rFonts w:ascii="Times New Roman" w:hAnsi="Times New Roman"/>
          <w:sz w:val="24"/>
          <w:szCs w:val="24"/>
        </w:rPr>
        <w:t>/2015</w:t>
      </w:r>
    </w:p>
    <w:sectPr w:rsidR="00586B49" w:rsidRPr="00B17AA0" w:rsidSect="0099330C">
      <w:headerReference w:type="even" r:id="rId10"/>
      <w:headerReference w:type="default" r:id="rId11"/>
      <w:footerReference w:type="even" r:id="rId12"/>
      <w:footerReference w:type="default" r:id="rId13"/>
      <w:headerReference w:type="first" r:id="rId14"/>
      <w:footerReference w:type="first" r:id="rId15"/>
      <w:pgSz w:w="12240" w:h="15840"/>
      <w:pgMar w:top="1260" w:right="1620" w:bottom="1620" w:left="14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01" w:rsidRDefault="003C3601">
      <w:pPr>
        <w:spacing w:after="0" w:line="240" w:lineRule="auto"/>
      </w:pPr>
      <w:r>
        <w:separator/>
      </w:r>
    </w:p>
  </w:endnote>
  <w:endnote w:type="continuationSeparator" w:id="0">
    <w:p w:rsidR="003C3601" w:rsidRDefault="003C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F3" w:rsidRDefault="00167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6" w:rsidRDefault="00EC43D1">
    <w:pPr>
      <w:pStyle w:val="Footer"/>
      <w:jc w:val="right"/>
    </w:pPr>
    <w:r>
      <w:fldChar w:fldCharType="begin"/>
    </w:r>
    <w:r w:rsidR="00287376">
      <w:instrText xml:space="preserve"> PAGE   \* MERGEFORMAT </w:instrText>
    </w:r>
    <w:r>
      <w:fldChar w:fldCharType="separate"/>
    </w:r>
    <w:r w:rsidR="000E2380">
      <w:rPr>
        <w:noProof/>
      </w:rPr>
      <w:t>2</w:t>
    </w:r>
    <w:r>
      <w:rPr>
        <w:noProof/>
      </w:rPr>
      <w:fldChar w:fldCharType="end"/>
    </w:r>
  </w:p>
  <w:p w:rsidR="00287376" w:rsidRDefault="00287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6" w:rsidRDefault="00EC43D1">
    <w:pPr>
      <w:pStyle w:val="Footer"/>
      <w:tabs>
        <w:tab w:val="clear" w:pos="9360"/>
        <w:tab w:val="right" w:pos="9180"/>
      </w:tabs>
      <w:jc w:val="right"/>
    </w:pPr>
    <w:r>
      <w:fldChar w:fldCharType="begin"/>
    </w:r>
    <w:r w:rsidR="00287376">
      <w:instrText xml:space="preserve"> PAGE   \* MERGEFORMAT </w:instrText>
    </w:r>
    <w:r>
      <w:fldChar w:fldCharType="separate"/>
    </w:r>
    <w:r w:rsidR="00AA1F87">
      <w:rPr>
        <w:noProof/>
      </w:rPr>
      <w:t>10</w:t>
    </w:r>
    <w:r>
      <w:rPr>
        <w:noProof/>
      </w:rPr>
      <w:fldChar w:fldCharType="end"/>
    </w:r>
  </w:p>
  <w:p w:rsidR="00287376" w:rsidRDefault="0028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01" w:rsidRDefault="003C3601">
      <w:pPr>
        <w:spacing w:after="0" w:line="240" w:lineRule="auto"/>
      </w:pPr>
      <w:r>
        <w:separator/>
      </w:r>
    </w:p>
  </w:footnote>
  <w:footnote w:type="continuationSeparator" w:id="0">
    <w:p w:rsidR="003C3601" w:rsidRDefault="003C3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F3" w:rsidRDefault="00167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F3" w:rsidRDefault="00167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F3" w:rsidRDefault="0016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CFF"/>
    <w:multiLevelType w:val="multilevel"/>
    <w:tmpl w:val="00B71CF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D4753"/>
    <w:multiLevelType w:val="multilevel"/>
    <w:tmpl w:val="021D475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5B81565"/>
    <w:multiLevelType w:val="multilevel"/>
    <w:tmpl w:val="05B81565"/>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0E0CFF"/>
    <w:multiLevelType w:val="multilevel"/>
    <w:tmpl w:val="090E0CF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427E21"/>
    <w:multiLevelType w:val="multilevel"/>
    <w:tmpl w:val="0C427E2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F53518"/>
    <w:multiLevelType w:val="multilevel"/>
    <w:tmpl w:val="0DF5351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852EEC"/>
    <w:multiLevelType w:val="hybridMultilevel"/>
    <w:tmpl w:val="D1D0D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1A6F1F"/>
    <w:multiLevelType w:val="multilevel"/>
    <w:tmpl w:val="131A6F1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96A2382"/>
    <w:multiLevelType w:val="multilevel"/>
    <w:tmpl w:val="196A23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B9C5DDD"/>
    <w:multiLevelType w:val="hybridMultilevel"/>
    <w:tmpl w:val="6E9834C2"/>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1F3B6401"/>
    <w:multiLevelType w:val="multilevel"/>
    <w:tmpl w:val="1F3B6401"/>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1B4311D"/>
    <w:multiLevelType w:val="multilevel"/>
    <w:tmpl w:val="21B4311D"/>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9D63C9C"/>
    <w:multiLevelType w:val="multilevel"/>
    <w:tmpl w:val="29D63C9C"/>
    <w:lvl w:ilvl="0" w:tentative="1">
      <w:start w:val="1"/>
      <w:numFmt w:val="decimal"/>
      <w:lvlText w:val="%1."/>
      <w:lvlJc w:val="left"/>
      <w:pPr>
        <w:ind w:left="720" w:hanging="360"/>
      </w:pPr>
    </w:lvl>
    <w:lvl w:ilvl="1">
      <w:start w:val="1"/>
      <w:numFmt w:val="decimal"/>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A042619"/>
    <w:multiLevelType w:val="multilevel"/>
    <w:tmpl w:val="2A04261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A005DEF"/>
    <w:multiLevelType w:val="multilevel"/>
    <w:tmpl w:val="3A005DE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0D030E1"/>
    <w:multiLevelType w:val="hybridMultilevel"/>
    <w:tmpl w:val="FE965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F130B"/>
    <w:multiLevelType w:val="multilevel"/>
    <w:tmpl w:val="416F130B"/>
    <w:lvl w:ilvl="0">
      <w:start w:val="1"/>
      <w:numFmt w:val="decimal"/>
      <w:lvlText w:val="%1."/>
      <w:lvlJc w:val="left"/>
      <w:pPr>
        <w:ind w:left="5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2F91A02"/>
    <w:multiLevelType w:val="multilevel"/>
    <w:tmpl w:val="42F91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44BC27DA"/>
    <w:multiLevelType w:val="multilevel"/>
    <w:tmpl w:val="44BC27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52D0693"/>
    <w:multiLevelType w:val="multilevel"/>
    <w:tmpl w:val="452D0693"/>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48E41EBD"/>
    <w:multiLevelType w:val="hybridMultilevel"/>
    <w:tmpl w:val="F872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C4A2E"/>
    <w:multiLevelType w:val="hybridMultilevel"/>
    <w:tmpl w:val="2E942F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210CA"/>
    <w:multiLevelType w:val="multilevel"/>
    <w:tmpl w:val="4DA210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3F06E35"/>
    <w:multiLevelType w:val="multilevel"/>
    <w:tmpl w:val="53F06E35"/>
    <w:lvl w:ilvl="0">
      <w:start w:val="1"/>
      <w:numFmt w:val="decimal"/>
      <w:lvlText w:val="%1."/>
      <w:lvlJc w:val="left"/>
      <w:pPr>
        <w:ind w:left="540" w:hanging="360"/>
      </w:p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4" w15:restartNumberingAfterBreak="0">
    <w:nsid w:val="5959045B"/>
    <w:multiLevelType w:val="hybridMultilevel"/>
    <w:tmpl w:val="D1D0D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D0603"/>
    <w:multiLevelType w:val="hybridMultilevel"/>
    <w:tmpl w:val="81E842A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336F6"/>
    <w:multiLevelType w:val="multilevel"/>
    <w:tmpl w:val="5EB336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1AC5615"/>
    <w:multiLevelType w:val="multilevel"/>
    <w:tmpl w:val="61AC561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4F71CE1"/>
    <w:multiLevelType w:val="hybridMultilevel"/>
    <w:tmpl w:val="3B52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77210"/>
    <w:multiLevelType w:val="multilevel"/>
    <w:tmpl w:val="687772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E6B4EC4"/>
    <w:multiLevelType w:val="multilevel"/>
    <w:tmpl w:val="6E6B4E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FBE16E0"/>
    <w:multiLevelType w:val="multilevel"/>
    <w:tmpl w:val="6FBE16E0"/>
    <w:lvl w:ilvl="0">
      <w:start w:val="1"/>
      <w:numFmt w:val="bullet"/>
      <w:lvlText w:val="-"/>
      <w:lvlJc w:val="left"/>
      <w:pPr>
        <w:ind w:left="360" w:hanging="360"/>
      </w:pPr>
      <w:rPr>
        <w:rFonts w:ascii="Calibri" w:eastAsia="Calibri" w:hAnsi="Calibri" w:cs="Times New Roman" w:hint="default"/>
        <w:color w:val="363435"/>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70C75764"/>
    <w:multiLevelType w:val="multilevel"/>
    <w:tmpl w:val="70C757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519035B"/>
    <w:multiLevelType w:val="multilevel"/>
    <w:tmpl w:val="7519035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5E80A6B"/>
    <w:multiLevelType w:val="multilevel"/>
    <w:tmpl w:val="75E80A6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784422E"/>
    <w:multiLevelType w:val="multilevel"/>
    <w:tmpl w:val="778442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8F407FD"/>
    <w:multiLevelType w:val="multilevel"/>
    <w:tmpl w:val="78F407F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9D354C9"/>
    <w:multiLevelType w:val="multilevel"/>
    <w:tmpl w:val="79D354C9"/>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C471214"/>
    <w:multiLevelType w:val="multilevel"/>
    <w:tmpl w:val="7C4712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13"/>
  </w:num>
  <w:num w:numId="5">
    <w:abstractNumId w:val="11"/>
  </w:num>
  <w:num w:numId="6">
    <w:abstractNumId w:val="26"/>
  </w:num>
  <w:num w:numId="7">
    <w:abstractNumId w:val="2"/>
  </w:num>
  <w:num w:numId="8">
    <w:abstractNumId w:val="34"/>
  </w:num>
  <w:num w:numId="9">
    <w:abstractNumId w:val="23"/>
  </w:num>
  <w:num w:numId="10">
    <w:abstractNumId w:val="29"/>
  </w:num>
  <w:num w:numId="11">
    <w:abstractNumId w:val="17"/>
  </w:num>
  <w:num w:numId="12">
    <w:abstractNumId w:val="31"/>
  </w:num>
  <w:num w:numId="13">
    <w:abstractNumId w:val="1"/>
  </w:num>
  <w:num w:numId="14">
    <w:abstractNumId w:val="4"/>
  </w:num>
  <w:num w:numId="15">
    <w:abstractNumId w:val="36"/>
  </w:num>
  <w:num w:numId="16">
    <w:abstractNumId w:val="3"/>
  </w:num>
  <w:num w:numId="17">
    <w:abstractNumId w:val="18"/>
  </w:num>
  <w:num w:numId="18">
    <w:abstractNumId w:val="32"/>
  </w:num>
  <w:num w:numId="19">
    <w:abstractNumId w:val="35"/>
  </w:num>
  <w:num w:numId="20">
    <w:abstractNumId w:val="27"/>
  </w:num>
  <w:num w:numId="21">
    <w:abstractNumId w:val="16"/>
  </w:num>
  <w:num w:numId="22">
    <w:abstractNumId w:val="37"/>
  </w:num>
  <w:num w:numId="23">
    <w:abstractNumId w:val="30"/>
  </w:num>
  <w:num w:numId="24">
    <w:abstractNumId w:val="12"/>
  </w:num>
  <w:num w:numId="25">
    <w:abstractNumId w:val="14"/>
  </w:num>
  <w:num w:numId="26">
    <w:abstractNumId w:val="22"/>
  </w:num>
  <w:num w:numId="27">
    <w:abstractNumId w:val="0"/>
  </w:num>
  <w:num w:numId="28">
    <w:abstractNumId w:val="38"/>
  </w:num>
  <w:num w:numId="29">
    <w:abstractNumId w:val="33"/>
  </w:num>
  <w:num w:numId="30">
    <w:abstractNumId w:val="8"/>
  </w:num>
  <w:num w:numId="31">
    <w:abstractNumId w:val="7"/>
  </w:num>
  <w:num w:numId="32">
    <w:abstractNumId w:val="9"/>
  </w:num>
  <w:num w:numId="33">
    <w:abstractNumId w:val="24"/>
  </w:num>
  <w:num w:numId="34">
    <w:abstractNumId w:val="6"/>
  </w:num>
  <w:num w:numId="35">
    <w:abstractNumId w:val="25"/>
  </w:num>
  <w:num w:numId="36">
    <w:abstractNumId w:val="20"/>
  </w:num>
  <w:num w:numId="37">
    <w:abstractNumId w:val="28"/>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49"/>
    <w:rsid w:val="00001864"/>
    <w:rsid w:val="0000793F"/>
    <w:rsid w:val="00024901"/>
    <w:rsid w:val="00037230"/>
    <w:rsid w:val="0004651B"/>
    <w:rsid w:val="000638DE"/>
    <w:rsid w:val="00080DF5"/>
    <w:rsid w:val="00082A0C"/>
    <w:rsid w:val="00085980"/>
    <w:rsid w:val="00097641"/>
    <w:rsid w:val="000A229A"/>
    <w:rsid w:val="000A6AA0"/>
    <w:rsid w:val="000A7BFC"/>
    <w:rsid w:val="000C105B"/>
    <w:rsid w:val="000D4515"/>
    <w:rsid w:val="000E2380"/>
    <w:rsid w:val="000E5873"/>
    <w:rsid w:val="000F4E30"/>
    <w:rsid w:val="0010369E"/>
    <w:rsid w:val="001079E7"/>
    <w:rsid w:val="00135D5C"/>
    <w:rsid w:val="0013796A"/>
    <w:rsid w:val="00146F49"/>
    <w:rsid w:val="00156FEA"/>
    <w:rsid w:val="00167EF3"/>
    <w:rsid w:val="00177EB6"/>
    <w:rsid w:val="00190FD7"/>
    <w:rsid w:val="00196BC4"/>
    <w:rsid w:val="001B21CE"/>
    <w:rsid w:val="001B4B8D"/>
    <w:rsid w:val="001B7EC1"/>
    <w:rsid w:val="001D1D34"/>
    <w:rsid w:val="001E3905"/>
    <w:rsid w:val="001E522D"/>
    <w:rsid w:val="00223353"/>
    <w:rsid w:val="002276A7"/>
    <w:rsid w:val="00251A3D"/>
    <w:rsid w:val="00260EE4"/>
    <w:rsid w:val="00262569"/>
    <w:rsid w:val="00274E37"/>
    <w:rsid w:val="00281BFD"/>
    <w:rsid w:val="00282F52"/>
    <w:rsid w:val="00287376"/>
    <w:rsid w:val="00290B29"/>
    <w:rsid w:val="002A2EE4"/>
    <w:rsid w:val="002C3D31"/>
    <w:rsid w:val="002D24D6"/>
    <w:rsid w:val="002E2A75"/>
    <w:rsid w:val="002F1D54"/>
    <w:rsid w:val="00307192"/>
    <w:rsid w:val="00311858"/>
    <w:rsid w:val="003126A0"/>
    <w:rsid w:val="0032164D"/>
    <w:rsid w:val="00345399"/>
    <w:rsid w:val="00346161"/>
    <w:rsid w:val="00351B39"/>
    <w:rsid w:val="00362426"/>
    <w:rsid w:val="003773CD"/>
    <w:rsid w:val="003803BC"/>
    <w:rsid w:val="00385605"/>
    <w:rsid w:val="003A0048"/>
    <w:rsid w:val="003A610D"/>
    <w:rsid w:val="003B3EAE"/>
    <w:rsid w:val="003B795F"/>
    <w:rsid w:val="003C3601"/>
    <w:rsid w:val="003D0388"/>
    <w:rsid w:val="004039CE"/>
    <w:rsid w:val="00413442"/>
    <w:rsid w:val="00417419"/>
    <w:rsid w:val="00433371"/>
    <w:rsid w:val="0044191C"/>
    <w:rsid w:val="00456B50"/>
    <w:rsid w:val="00466432"/>
    <w:rsid w:val="004726C7"/>
    <w:rsid w:val="00476835"/>
    <w:rsid w:val="0048742C"/>
    <w:rsid w:val="004958AF"/>
    <w:rsid w:val="00495947"/>
    <w:rsid w:val="004A18A7"/>
    <w:rsid w:val="004A1EE7"/>
    <w:rsid w:val="004A243C"/>
    <w:rsid w:val="004A50B2"/>
    <w:rsid w:val="004B1ACE"/>
    <w:rsid w:val="004C76D1"/>
    <w:rsid w:val="004D6152"/>
    <w:rsid w:val="004F394C"/>
    <w:rsid w:val="005056AA"/>
    <w:rsid w:val="00512D53"/>
    <w:rsid w:val="00533184"/>
    <w:rsid w:val="00536C0D"/>
    <w:rsid w:val="00545434"/>
    <w:rsid w:val="0055058F"/>
    <w:rsid w:val="005548F7"/>
    <w:rsid w:val="00570449"/>
    <w:rsid w:val="00575784"/>
    <w:rsid w:val="00583F61"/>
    <w:rsid w:val="00586B49"/>
    <w:rsid w:val="00587CD6"/>
    <w:rsid w:val="00595BCC"/>
    <w:rsid w:val="00595EBF"/>
    <w:rsid w:val="005A082B"/>
    <w:rsid w:val="005A4758"/>
    <w:rsid w:val="005A7150"/>
    <w:rsid w:val="005B6F7D"/>
    <w:rsid w:val="005D126B"/>
    <w:rsid w:val="005D1EA8"/>
    <w:rsid w:val="005D4913"/>
    <w:rsid w:val="005F6614"/>
    <w:rsid w:val="0060076F"/>
    <w:rsid w:val="006112B5"/>
    <w:rsid w:val="0061451A"/>
    <w:rsid w:val="006361B5"/>
    <w:rsid w:val="00636DB3"/>
    <w:rsid w:val="0064162B"/>
    <w:rsid w:val="00650141"/>
    <w:rsid w:val="00654599"/>
    <w:rsid w:val="0066274F"/>
    <w:rsid w:val="00670E4E"/>
    <w:rsid w:val="00674725"/>
    <w:rsid w:val="00680BAD"/>
    <w:rsid w:val="00685DDB"/>
    <w:rsid w:val="0068743D"/>
    <w:rsid w:val="006A386B"/>
    <w:rsid w:val="006B534D"/>
    <w:rsid w:val="006B5EE3"/>
    <w:rsid w:val="006C15FD"/>
    <w:rsid w:val="006C6807"/>
    <w:rsid w:val="006D4355"/>
    <w:rsid w:val="006E5733"/>
    <w:rsid w:val="006F4049"/>
    <w:rsid w:val="00702D0B"/>
    <w:rsid w:val="00706F9A"/>
    <w:rsid w:val="00743DEA"/>
    <w:rsid w:val="00765C80"/>
    <w:rsid w:val="00786FC4"/>
    <w:rsid w:val="007A0557"/>
    <w:rsid w:val="007A062B"/>
    <w:rsid w:val="007B7EBB"/>
    <w:rsid w:val="007C507D"/>
    <w:rsid w:val="007C5D13"/>
    <w:rsid w:val="007C6368"/>
    <w:rsid w:val="007D752B"/>
    <w:rsid w:val="007E0D41"/>
    <w:rsid w:val="007F4E43"/>
    <w:rsid w:val="007F5456"/>
    <w:rsid w:val="008119C1"/>
    <w:rsid w:val="008215ED"/>
    <w:rsid w:val="008573C1"/>
    <w:rsid w:val="00866C47"/>
    <w:rsid w:val="00875905"/>
    <w:rsid w:val="00895C8F"/>
    <w:rsid w:val="008B3A3A"/>
    <w:rsid w:val="008E3F97"/>
    <w:rsid w:val="008F122C"/>
    <w:rsid w:val="009132FE"/>
    <w:rsid w:val="00921A14"/>
    <w:rsid w:val="00924A51"/>
    <w:rsid w:val="00926871"/>
    <w:rsid w:val="0093083A"/>
    <w:rsid w:val="00945EF2"/>
    <w:rsid w:val="00951820"/>
    <w:rsid w:val="009638F8"/>
    <w:rsid w:val="00975154"/>
    <w:rsid w:val="009850A2"/>
    <w:rsid w:val="00985845"/>
    <w:rsid w:val="009920F4"/>
    <w:rsid w:val="0099330C"/>
    <w:rsid w:val="009938A0"/>
    <w:rsid w:val="00993A67"/>
    <w:rsid w:val="009957C7"/>
    <w:rsid w:val="009967BA"/>
    <w:rsid w:val="00997079"/>
    <w:rsid w:val="009A4398"/>
    <w:rsid w:val="009C0EC4"/>
    <w:rsid w:val="009C2DC6"/>
    <w:rsid w:val="009C5503"/>
    <w:rsid w:val="009E5A1D"/>
    <w:rsid w:val="009F0F48"/>
    <w:rsid w:val="009F6F9F"/>
    <w:rsid w:val="00A0022D"/>
    <w:rsid w:val="00A12840"/>
    <w:rsid w:val="00A12F0F"/>
    <w:rsid w:val="00A25DD0"/>
    <w:rsid w:val="00A342AD"/>
    <w:rsid w:val="00A46267"/>
    <w:rsid w:val="00A574FE"/>
    <w:rsid w:val="00A615E8"/>
    <w:rsid w:val="00A64EC0"/>
    <w:rsid w:val="00A80A86"/>
    <w:rsid w:val="00A8125B"/>
    <w:rsid w:val="00AA1F87"/>
    <w:rsid w:val="00AB12FA"/>
    <w:rsid w:val="00AB5C5C"/>
    <w:rsid w:val="00AC259C"/>
    <w:rsid w:val="00AC36C1"/>
    <w:rsid w:val="00AD536A"/>
    <w:rsid w:val="00AD6F42"/>
    <w:rsid w:val="00AE2361"/>
    <w:rsid w:val="00AE49C3"/>
    <w:rsid w:val="00AE7994"/>
    <w:rsid w:val="00AF4942"/>
    <w:rsid w:val="00AF50E6"/>
    <w:rsid w:val="00B01231"/>
    <w:rsid w:val="00B03DF7"/>
    <w:rsid w:val="00B054DC"/>
    <w:rsid w:val="00B1120D"/>
    <w:rsid w:val="00B17AA0"/>
    <w:rsid w:val="00B2044C"/>
    <w:rsid w:val="00B21F9A"/>
    <w:rsid w:val="00B227E4"/>
    <w:rsid w:val="00B235EA"/>
    <w:rsid w:val="00B23ADB"/>
    <w:rsid w:val="00B24B76"/>
    <w:rsid w:val="00B36134"/>
    <w:rsid w:val="00B64572"/>
    <w:rsid w:val="00B67F4C"/>
    <w:rsid w:val="00B72463"/>
    <w:rsid w:val="00B81041"/>
    <w:rsid w:val="00B81DDC"/>
    <w:rsid w:val="00B8720F"/>
    <w:rsid w:val="00B96876"/>
    <w:rsid w:val="00BA3E1E"/>
    <w:rsid w:val="00BB271D"/>
    <w:rsid w:val="00BB3626"/>
    <w:rsid w:val="00BC27D3"/>
    <w:rsid w:val="00BD01D1"/>
    <w:rsid w:val="00BD05BE"/>
    <w:rsid w:val="00BD4F53"/>
    <w:rsid w:val="00BE64B3"/>
    <w:rsid w:val="00BF4686"/>
    <w:rsid w:val="00BF584E"/>
    <w:rsid w:val="00BF7394"/>
    <w:rsid w:val="00C12D2B"/>
    <w:rsid w:val="00C155A7"/>
    <w:rsid w:val="00C52E93"/>
    <w:rsid w:val="00C66F1F"/>
    <w:rsid w:val="00C73C64"/>
    <w:rsid w:val="00C748BC"/>
    <w:rsid w:val="00C86A64"/>
    <w:rsid w:val="00C90016"/>
    <w:rsid w:val="00C9184E"/>
    <w:rsid w:val="00CA7676"/>
    <w:rsid w:val="00CB4E44"/>
    <w:rsid w:val="00CF5C70"/>
    <w:rsid w:val="00D024CF"/>
    <w:rsid w:val="00D213A1"/>
    <w:rsid w:val="00D277EB"/>
    <w:rsid w:val="00D342BD"/>
    <w:rsid w:val="00DA4715"/>
    <w:rsid w:val="00DB13C8"/>
    <w:rsid w:val="00DB6A34"/>
    <w:rsid w:val="00DC2F5E"/>
    <w:rsid w:val="00DC4BEF"/>
    <w:rsid w:val="00DD0802"/>
    <w:rsid w:val="00DD1422"/>
    <w:rsid w:val="00DE1014"/>
    <w:rsid w:val="00DE4DD9"/>
    <w:rsid w:val="00E066E2"/>
    <w:rsid w:val="00E0752D"/>
    <w:rsid w:val="00E3221E"/>
    <w:rsid w:val="00E51438"/>
    <w:rsid w:val="00E621D1"/>
    <w:rsid w:val="00E63699"/>
    <w:rsid w:val="00E6459A"/>
    <w:rsid w:val="00E76354"/>
    <w:rsid w:val="00E766D6"/>
    <w:rsid w:val="00E82268"/>
    <w:rsid w:val="00E86CEF"/>
    <w:rsid w:val="00EA4936"/>
    <w:rsid w:val="00EA6799"/>
    <w:rsid w:val="00EC43D1"/>
    <w:rsid w:val="00EC49D2"/>
    <w:rsid w:val="00EC5FE2"/>
    <w:rsid w:val="00F20BAB"/>
    <w:rsid w:val="00F21C48"/>
    <w:rsid w:val="00F32702"/>
    <w:rsid w:val="00F66D45"/>
    <w:rsid w:val="00FA28C2"/>
    <w:rsid w:val="00FA5E53"/>
    <w:rsid w:val="00FB0563"/>
    <w:rsid w:val="00FB288A"/>
    <w:rsid w:val="00FB4682"/>
    <w:rsid w:val="00FB5398"/>
    <w:rsid w:val="00FC617E"/>
    <w:rsid w:val="00FE7708"/>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64D91C6-D5C3-451F-826A-D6196C41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0C"/>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99330C"/>
    <w:pPr>
      <w:keepNext/>
      <w:keepLines/>
      <w:spacing w:before="480" w:after="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99330C"/>
    <w:pPr>
      <w:keepNext/>
      <w:keepLines/>
      <w:spacing w:before="40" w:after="0"/>
      <w:outlineLvl w:val="1"/>
    </w:pPr>
    <w:rPr>
      <w:rFonts w:ascii="Cambria" w:hAnsi="Cambria"/>
      <w:color w:val="365F90"/>
      <w:sz w:val="26"/>
      <w:szCs w:val="26"/>
    </w:rPr>
  </w:style>
  <w:style w:type="paragraph" w:styleId="Heading3">
    <w:name w:val="heading 3"/>
    <w:basedOn w:val="Normal"/>
    <w:next w:val="Normal"/>
    <w:link w:val="Heading3Char"/>
    <w:uiPriority w:val="9"/>
    <w:unhideWhenUsed/>
    <w:qFormat/>
    <w:rsid w:val="0099330C"/>
    <w:pPr>
      <w:keepNext/>
      <w:keepLines/>
      <w:spacing w:before="40" w:after="0"/>
      <w:outlineLvl w:val="2"/>
    </w:pPr>
    <w:rPr>
      <w:rFonts w:ascii="Cambria" w:hAnsi="Cambria"/>
      <w:color w:val="233E5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30C"/>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9933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99330C"/>
    <w:rPr>
      <w:b/>
      <w:bCs/>
    </w:rPr>
  </w:style>
  <w:style w:type="paragraph" w:styleId="DocumentMap">
    <w:name w:val="Document Map"/>
    <w:basedOn w:val="Normal"/>
    <w:link w:val="DocumentMapChar"/>
    <w:semiHidden/>
    <w:rsid w:val="0099330C"/>
    <w:pPr>
      <w:shd w:val="clear" w:color="auto" w:fill="000080"/>
      <w:spacing w:after="0" w:line="240" w:lineRule="auto"/>
    </w:pPr>
    <w:rPr>
      <w:rFonts w:ascii="Tahoma" w:eastAsia="Times New Roman" w:hAnsi="Tahoma" w:cs="Tahoma"/>
      <w:sz w:val="24"/>
      <w:szCs w:val="24"/>
    </w:rPr>
  </w:style>
  <w:style w:type="paragraph" w:styleId="EndnoteText">
    <w:name w:val="endnote text"/>
    <w:basedOn w:val="Normal"/>
    <w:link w:val="EndnoteTextChar"/>
    <w:uiPriority w:val="99"/>
    <w:semiHidden/>
    <w:unhideWhenUsed/>
    <w:rsid w:val="0099330C"/>
    <w:pPr>
      <w:spacing w:after="0" w:line="240" w:lineRule="auto"/>
    </w:pPr>
    <w:rPr>
      <w:sz w:val="20"/>
      <w:szCs w:val="20"/>
    </w:rPr>
  </w:style>
  <w:style w:type="paragraph" w:styleId="Footer">
    <w:name w:val="footer"/>
    <w:basedOn w:val="Normal"/>
    <w:link w:val="FooterChar"/>
    <w:uiPriority w:val="99"/>
    <w:unhideWhenUsed/>
    <w:rsid w:val="0099330C"/>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99330C"/>
    <w:pPr>
      <w:spacing w:after="0" w:line="240" w:lineRule="auto"/>
    </w:pPr>
    <w:rPr>
      <w:sz w:val="20"/>
      <w:szCs w:val="20"/>
    </w:rPr>
  </w:style>
  <w:style w:type="paragraph" w:styleId="Header">
    <w:name w:val="header"/>
    <w:basedOn w:val="Normal"/>
    <w:link w:val="HeaderChar"/>
    <w:uiPriority w:val="99"/>
    <w:unhideWhenUsed/>
    <w:rsid w:val="0099330C"/>
    <w:pPr>
      <w:tabs>
        <w:tab w:val="center" w:pos="4680"/>
        <w:tab w:val="right" w:pos="9360"/>
      </w:tabs>
      <w:spacing w:after="0" w:line="240" w:lineRule="auto"/>
    </w:pPr>
  </w:style>
  <w:style w:type="paragraph" w:styleId="PlainText">
    <w:name w:val="Plain Text"/>
    <w:basedOn w:val="Normal"/>
    <w:link w:val="PlainTextChar"/>
    <w:uiPriority w:val="99"/>
    <w:unhideWhenUsed/>
    <w:rsid w:val="0099330C"/>
    <w:pPr>
      <w:spacing w:after="0" w:line="240" w:lineRule="auto"/>
    </w:pPr>
    <w:rPr>
      <w:rFonts w:ascii="Consolas" w:hAnsi="Consolas"/>
      <w:sz w:val="21"/>
      <w:szCs w:val="21"/>
    </w:rPr>
  </w:style>
  <w:style w:type="paragraph" w:styleId="TOC1">
    <w:name w:val="toc 1"/>
    <w:basedOn w:val="Normal"/>
    <w:next w:val="Normal"/>
    <w:uiPriority w:val="39"/>
    <w:unhideWhenUsed/>
    <w:rsid w:val="0099330C"/>
    <w:pPr>
      <w:tabs>
        <w:tab w:val="left" w:pos="567"/>
        <w:tab w:val="right" w:leader="dot" w:pos="9113"/>
      </w:tabs>
      <w:spacing w:after="100"/>
    </w:pPr>
  </w:style>
  <w:style w:type="paragraph" w:styleId="TOC2">
    <w:name w:val="toc 2"/>
    <w:basedOn w:val="Normal"/>
    <w:next w:val="Normal"/>
    <w:uiPriority w:val="39"/>
    <w:unhideWhenUsed/>
    <w:rsid w:val="0099330C"/>
    <w:pPr>
      <w:tabs>
        <w:tab w:val="left" w:pos="567"/>
        <w:tab w:val="right" w:leader="dot" w:pos="9113"/>
      </w:tabs>
      <w:spacing w:after="100"/>
      <w:ind w:left="220" w:hanging="220"/>
    </w:pPr>
    <w:rPr>
      <w:rFonts w:ascii="Times New Roman" w:hAnsi="Times New Roman"/>
      <w:b/>
      <w:i/>
    </w:rPr>
  </w:style>
  <w:style w:type="paragraph" w:styleId="TOC3">
    <w:name w:val="toc 3"/>
    <w:basedOn w:val="Normal"/>
    <w:next w:val="Normal"/>
    <w:uiPriority w:val="39"/>
    <w:unhideWhenUsed/>
    <w:rsid w:val="0099330C"/>
    <w:pPr>
      <w:tabs>
        <w:tab w:val="left" w:pos="880"/>
        <w:tab w:val="right" w:leader="dot" w:pos="9113"/>
      </w:tabs>
      <w:spacing w:after="100" w:line="259" w:lineRule="auto"/>
      <w:ind w:left="142" w:firstLine="142"/>
    </w:pPr>
  </w:style>
  <w:style w:type="paragraph" w:styleId="TOC4">
    <w:name w:val="toc 4"/>
    <w:basedOn w:val="Normal"/>
    <w:next w:val="Normal"/>
    <w:uiPriority w:val="39"/>
    <w:unhideWhenUsed/>
    <w:rsid w:val="0099330C"/>
    <w:pPr>
      <w:spacing w:after="100" w:line="259" w:lineRule="auto"/>
      <w:ind w:left="660"/>
    </w:pPr>
  </w:style>
  <w:style w:type="paragraph" w:styleId="TOC5">
    <w:name w:val="toc 5"/>
    <w:basedOn w:val="Normal"/>
    <w:next w:val="Normal"/>
    <w:uiPriority w:val="39"/>
    <w:unhideWhenUsed/>
    <w:rsid w:val="0099330C"/>
    <w:pPr>
      <w:spacing w:after="100" w:line="259" w:lineRule="auto"/>
      <w:ind w:left="880"/>
    </w:pPr>
  </w:style>
  <w:style w:type="paragraph" w:styleId="TOC6">
    <w:name w:val="toc 6"/>
    <w:basedOn w:val="Normal"/>
    <w:next w:val="Normal"/>
    <w:uiPriority w:val="39"/>
    <w:unhideWhenUsed/>
    <w:rsid w:val="0099330C"/>
    <w:pPr>
      <w:spacing w:after="100" w:line="259" w:lineRule="auto"/>
      <w:ind w:left="1100"/>
    </w:pPr>
  </w:style>
  <w:style w:type="paragraph" w:styleId="TOC7">
    <w:name w:val="toc 7"/>
    <w:basedOn w:val="Normal"/>
    <w:next w:val="Normal"/>
    <w:uiPriority w:val="39"/>
    <w:unhideWhenUsed/>
    <w:rsid w:val="0099330C"/>
    <w:pPr>
      <w:spacing w:after="100" w:line="259" w:lineRule="auto"/>
      <w:ind w:left="1320"/>
    </w:pPr>
  </w:style>
  <w:style w:type="paragraph" w:styleId="TOC8">
    <w:name w:val="toc 8"/>
    <w:basedOn w:val="Normal"/>
    <w:next w:val="Normal"/>
    <w:uiPriority w:val="39"/>
    <w:unhideWhenUsed/>
    <w:rsid w:val="0099330C"/>
    <w:pPr>
      <w:spacing w:after="100" w:line="259" w:lineRule="auto"/>
      <w:ind w:left="1540"/>
    </w:pPr>
  </w:style>
  <w:style w:type="paragraph" w:styleId="TOC9">
    <w:name w:val="toc 9"/>
    <w:basedOn w:val="Normal"/>
    <w:next w:val="Normal"/>
    <w:uiPriority w:val="39"/>
    <w:unhideWhenUsed/>
    <w:rsid w:val="0099330C"/>
    <w:pPr>
      <w:spacing w:after="100" w:line="259" w:lineRule="auto"/>
      <w:ind w:left="1760"/>
    </w:pPr>
  </w:style>
  <w:style w:type="character" w:styleId="CommentReference">
    <w:name w:val="annotation reference"/>
    <w:uiPriority w:val="99"/>
    <w:semiHidden/>
    <w:unhideWhenUsed/>
    <w:rsid w:val="0099330C"/>
    <w:rPr>
      <w:sz w:val="16"/>
      <w:szCs w:val="16"/>
    </w:rPr>
  </w:style>
  <w:style w:type="character" w:styleId="EndnoteReference">
    <w:name w:val="endnote reference"/>
    <w:uiPriority w:val="99"/>
    <w:semiHidden/>
    <w:unhideWhenUsed/>
    <w:rsid w:val="0099330C"/>
    <w:rPr>
      <w:vertAlign w:val="superscript"/>
    </w:rPr>
  </w:style>
  <w:style w:type="character" w:styleId="FootnoteReference">
    <w:name w:val="footnote reference"/>
    <w:uiPriority w:val="99"/>
    <w:semiHidden/>
    <w:unhideWhenUsed/>
    <w:rsid w:val="0099330C"/>
    <w:rPr>
      <w:vertAlign w:val="superscript"/>
    </w:rPr>
  </w:style>
  <w:style w:type="character" w:styleId="Hyperlink">
    <w:name w:val="Hyperlink"/>
    <w:uiPriority w:val="99"/>
    <w:unhideWhenUsed/>
    <w:rsid w:val="0099330C"/>
    <w:rPr>
      <w:color w:val="0000FF"/>
      <w:u w:val="single"/>
    </w:rPr>
  </w:style>
  <w:style w:type="character" w:styleId="Strong">
    <w:name w:val="Strong"/>
    <w:uiPriority w:val="22"/>
    <w:qFormat/>
    <w:rsid w:val="0099330C"/>
    <w:rPr>
      <w:b/>
      <w:bCs/>
    </w:rPr>
  </w:style>
  <w:style w:type="paragraph" w:customStyle="1" w:styleId="ListParagraph1">
    <w:name w:val="List Paragraph1"/>
    <w:basedOn w:val="Normal"/>
    <w:uiPriority w:val="34"/>
    <w:qFormat/>
    <w:rsid w:val="0099330C"/>
    <w:pPr>
      <w:spacing w:after="0" w:line="240" w:lineRule="auto"/>
      <w:ind w:left="720"/>
      <w:contextualSpacing/>
    </w:pPr>
    <w:rPr>
      <w:rFonts w:ascii="Book Antiqua" w:eastAsia="Times New Roman" w:hAnsi="Book Antiqua" w:cs="Book Antiqua"/>
    </w:rPr>
  </w:style>
  <w:style w:type="paragraph" w:customStyle="1" w:styleId="NoSpacing1">
    <w:name w:val="No Spacing1"/>
    <w:link w:val="NoSpacingChar"/>
    <w:uiPriority w:val="1"/>
    <w:qFormat/>
    <w:rsid w:val="0099330C"/>
    <w:rPr>
      <w:rFonts w:ascii="Calibri" w:hAnsi="Calibri"/>
      <w:sz w:val="22"/>
      <w:szCs w:val="22"/>
      <w:lang w:val="en-US" w:eastAsia="en-US"/>
    </w:rPr>
  </w:style>
  <w:style w:type="paragraph" w:customStyle="1" w:styleId="Default">
    <w:name w:val="Default"/>
    <w:rsid w:val="0099330C"/>
    <w:pPr>
      <w:autoSpaceDE w:val="0"/>
      <w:autoSpaceDN w:val="0"/>
      <w:adjustRightInd w:val="0"/>
    </w:pPr>
    <w:rPr>
      <w:color w:val="000000"/>
      <w:sz w:val="24"/>
      <w:szCs w:val="24"/>
      <w:lang w:val="en-US" w:eastAsia="zh-CN"/>
    </w:rPr>
  </w:style>
  <w:style w:type="paragraph" w:customStyle="1" w:styleId="TOCHeading1">
    <w:name w:val="TOC Heading1"/>
    <w:basedOn w:val="Heading1"/>
    <w:next w:val="Normal"/>
    <w:uiPriority w:val="39"/>
    <w:unhideWhenUsed/>
    <w:qFormat/>
    <w:rsid w:val="0099330C"/>
    <w:pPr>
      <w:spacing w:before="240" w:line="259" w:lineRule="auto"/>
      <w:outlineLvl w:val="9"/>
    </w:pPr>
    <w:rPr>
      <w:b w:val="0"/>
      <w:bCs w:val="0"/>
      <w:sz w:val="32"/>
      <w:szCs w:val="32"/>
    </w:rPr>
  </w:style>
  <w:style w:type="character" w:customStyle="1" w:styleId="PlainTextChar">
    <w:name w:val="Plain Text Char"/>
    <w:link w:val="PlainText"/>
    <w:uiPriority w:val="99"/>
    <w:rsid w:val="0099330C"/>
    <w:rPr>
      <w:rFonts w:ascii="Consolas" w:hAnsi="Consolas"/>
      <w:sz w:val="21"/>
      <w:szCs w:val="21"/>
    </w:rPr>
  </w:style>
  <w:style w:type="character" w:customStyle="1" w:styleId="BalloonTextChar">
    <w:name w:val="Balloon Text Char"/>
    <w:link w:val="BalloonText"/>
    <w:uiPriority w:val="99"/>
    <w:semiHidden/>
    <w:rsid w:val="0099330C"/>
    <w:rPr>
      <w:rFonts w:ascii="Tahoma" w:hAnsi="Tahoma" w:cs="Tahoma"/>
      <w:sz w:val="16"/>
      <w:szCs w:val="16"/>
    </w:rPr>
  </w:style>
  <w:style w:type="character" w:customStyle="1" w:styleId="DocumentMapChar">
    <w:name w:val="Document Map Char"/>
    <w:link w:val="DocumentMap"/>
    <w:semiHidden/>
    <w:rsid w:val="0099330C"/>
    <w:rPr>
      <w:rFonts w:ascii="Tahoma" w:eastAsia="Times New Roman" w:hAnsi="Tahoma" w:cs="Tahoma"/>
      <w:sz w:val="24"/>
      <w:szCs w:val="24"/>
      <w:shd w:val="clear" w:color="auto" w:fill="000080"/>
    </w:rPr>
  </w:style>
  <w:style w:type="character" w:customStyle="1" w:styleId="HeaderChar">
    <w:name w:val="Header Char"/>
    <w:basedOn w:val="DefaultParagraphFont"/>
    <w:link w:val="Header"/>
    <w:uiPriority w:val="99"/>
    <w:rsid w:val="0099330C"/>
  </w:style>
  <w:style w:type="character" w:customStyle="1" w:styleId="FooterChar">
    <w:name w:val="Footer Char"/>
    <w:basedOn w:val="DefaultParagraphFont"/>
    <w:link w:val="Footer"/>
    <w:uiPriority w:val="99"/>
    <w:rsid w:val="0099330C"/>
  </w:style>
  <w:style w:type="character" w:customStyle="1" w:styleId="Heading1Char">
    <w:name w:val="Heading 1 Char"/>
    <w:link w:val="Heading1"/>
    <w:uiPriority w:val="9"/>
    <w:rsid w:val="0099330C"/>
    <w:rPr>
      <w:rFonts w:ascii="Cambria" w:hAnsi="Cambria"/>
      <w:b/>
      <w:bCs/>
      <w:color w:val="365F90"/>
      <w:sz w:val="28"/>
      <w:szCs w:val="28"/>
    </w:rPr>
  </w:style>
  <w:style w:type="character" w:customStyle="1" w:styleId="Heading2Char">
    <w:name w:val="Heading 2 Char"/>
    <w:link w:val="Heading2"/>
    <w:uiPriority w:val="9"/>
    <w:rsid w:val="0099330C"/>
    <w:rPr>
      <w:rFonts w:ascii="Cambria" w:hAnsi="Cambria"/>
      <w:color w:val="365F90"/>
      <w:sz w:val="26"/>
      <w:szCs w:val="26"/>
    </w:rPr>
  </w:style>
  <w:style w:type="character" w:customStyle="1" w:styleId="longtext1">
    <w:name w:val="long_text1"/>
    <w:rsid w:val="0099330C"/>
    <w:rPr>
      <w:sz w:val="20"/>
      <w:szCs w:val="20"/>
    </w:rPr>
  </w:style>
  <w:style w:type="character" w:customStyle="1" w:styleId="EndnoteTextChar">
    <w:name w:val="Endnote Text Char"/>
    <w:link w:val="EndnoteText"/>
    <w:uiPriority w:val="99"/>
    <w:semiHidden/>
    <w:rsid w:val="0099330C"/>
    <w:rPr>
      <w:sz w:val="20"/>
      <w:szCs w:val="20"/>
    </w:rPr>
  </w:style>
  <w:style w:type="character" w:customStyle="1" w:styleId="FootnoteTextChar">
    <w:name w:val="Footnote Text Char"/>
    <w:link w:val="FootnoteText"/>
    <w:uiPriority w:val="99"/>
    <w:semiHidden/>
    <w:rsid w:val="0099330C"/>
    <w:rPr>
      <w:sz w:val="20"/>
      <w:szCs w:val="20"/>
    </w:rPr>
  </w:style>
  <w:style w:type="character" w:customStyle="1" w:styleId="NoSpacingChar">
    <w:name w:val="No Spacing Char"/>
    <w:link w:val="NoSpacing1"/>
    <w:uiPriority w:val="1"/>
    <w:rsid w:val="0099330C"/>
    <w:rPr>
      <w:rFonts w:ascii="Calibri" w:eastAsia="SimSun" w:hAnsi="Calibri" w:cs="Times New Roman"/>
      <w:sz w:val="22"/>
      <w:szCs w:val="22"/>
      <w:lang w:val="en-US" w:eastAsia="en-US" w:bidi="ar-SA"/>
    </w:rPr>
  </w:style>
  <w:style w:type="character" w:customStyle="1" w:styleId="CommentTextChar">
    <w:name w:val="Comment Text Char"/>
    <w:link w:val="CommentText"/>
    <w:uiPriority w:val="99"/>
    <w:semiHidden/>
    <w:rsid w:val="0099330C"/>
    <w:rPr>
      <w:sz w:val="20"/>
      <w:szCs w:val="20"/>
    </w:rPr>
  </w:style>
  <w:style w:type="character" w:customStyle="1" w:styleId="CommentSubjectChar">
    <w:name w:val="Comment Subject Char"/>
    <w:link w:val="CommentSubject"/>
    <w:uiPriority w:val="99"/>
    <w:semiHidden/>
    <w:rsid w:val="0099330C"/>
    <w:rPr>
      <w:b/>
      <w:bCs/>
      <w:sz w:val="20"/>
      <w:szCs w:val="20"/>
    </w:rPr>
  </w:style>
  <w:style w:type="character" w:customStyle="1" w:styleId="Heading3Char">
    <w:name w:val="Heading 3 Char"/>
    <w:link w:val="Heading3"/>
    <w:uiPriority w:val="9"/>
    <w:rsid w:val="0099330C"/>
    <w:rPr>
      <w:rFonts w:ascii="Cambria" w:hAnsi="Cambria"/>
      <w:color w:val="233E5F"/>
      <w:sz w:val="24"/>
      <w:szCs w:val="24"/>
    </w:rPr>
  </w:style>
  <w:style w:type="paragraph" w:styleId="ListParagraph">
    <w:name w:val="List Paragraph"/>
    <w:basedOn w:val="Normal"/>
    <w:uiPriority w:val="34"/>
    <w:qFormat/>
    <w:rsid w:val="00BC2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56130-69C6-4C7C-BC00-2397CC57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Raport i Auditoreve te pavarur</vt:lpstr>
    </vt:vector>
  </TitlesOfParts>
  <Company>OSHEE sh.a.</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 Auditoreve te pavarur</dc:title>
  <dc:subject>Per Pasqyrat Financiare te shoqerise “OSHEE” sh.a.</dc:subject>
  <dc:creator>Fato.alliu</dc:creator>
  <cp:lastModifiedBy>Gjergj</cp:lastModifiedBy>
  <cp:revision>1</cp:revision>
  <cp:lastPrinted>2015-07-19T08:26:00Z</cp:lastPrinted>
  <dcterms:created xsi:type="dcterms:W3CDTF">2015-07-30T16:00:00Z</dcterms:created>
  <dcterms:modified xsi:type="dcterms:W3CDTF">2015-08-18T16:49:00Z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