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36" w:rsidRPr="0074017C" w:rsidRDefault="00774836" w:rsidP="00DC10CD">
      <w:pPr>
        <w:pStyle w:val="Title"/>
        <w:spacing w:after="0"/>
      </w:pPr>
    </w:p>
    <w:p w:rsidR="00774836" w:rsidRPr="0074017C" w:rsidRDefault="00774836" w:rsidP="00DC10CD">
      <w:pPr>
        <w:pStyle w:val="Title"/>
        <w:spacing w:after="0"/>
      </w:pPr>
    </w:p>
    <w:p w:rsidR="00774836" w:rsidRPr="0074017C" w:rsidRDefault="00774836" w:rsidP="00DC10CD">
      <w:pPr>
        <w:pStyle w:val="Title"/>
        <w:spacing w:after="0"/>
      </w:pPr>
    </w:p>
    <w:p w:rsidR="00774836" w:rsidRPr="0074017C" w:rsidRDefault="00774836" w:rsidP="00DC10CD">
      <w:pPr>
        <w:pStyle w:val="Title"/>
        <w:spacing w:after="0"/>
      </w:pPr>
    </w:p>
    <w:p w:rsidR="002E3225" w:rsidRPr="0074017C" w:rsidRDefault="002E3225" w:rsidP="00DC10CD">
      <w:pPr>
        <w:pStyle w:val="Title"/>
        <w:spacing w:after="0"/>
      </w:pPr>
      <w:r w:rsidRPr="0074017C">
        <w:t>Republic of Albania</w:t>
      </w:r>
    </w:p>
    <w:p w:rsidR="002E3225" w:rsidRPr="0074017C" w:rsidRDefault="002E3225" w:rsidP="00DC10CD">
      <w:pPr>
        <w:pStyle w:val="Title"/>
        <w:spacing w:after="0"/>
      </w:pPr>
      <w:r w:rsidRPr="0074017C">
        <w:t>Technical Assistance</w:t>
      </w:r>
    </w:p>
    <w:p w:rsidR="002E3225" w:rsidRPr="0074017C" w:rsidRDefault="002E3225" w:rsidP="00DC10CD">
      <w:pPr>
        <w:pStyle w:val="Title"/>
        <w:spacing w:after="0"/>
      </w:pPr>
      <w:r w:rsidRPr="0074017C">
        <w:t>Review of Albanian Pharmaceutical Policy</w:t>
      </w:r>
    </w:p>
    <w:p w:rsidR="002E3225" w:rsidRPr="0074017C" w:rsidRDefault="002E3225" w:rsidP="00DC10CD">
      <w:pPr>
        <w:spacing w:after="0" w:line="240" w:lineRule="auto"/>
      </w:pPr>
    </w:p>
    <w:p w:rsidR="00286C86" w:rsidRPr="0074017C" w:rsidRDefault="00286C86" w:rsidP="00DC10CD">
      <w:pPr>
        <w:spacing w:after="0" w:line="240" w:lineRule="auto"/>
      </w:pPr>
    </w:p>
    <w:p w:rsidR="00774836" w:rsidRPr="0074017C" w:rsidRDefault="00336B99" w:rsidP="00DC10CD">
      <w:pPr>
        <w:spacing w:after="0" w:line="240" w:lineRule="auto"/>
      </w:pPr>
      <w:r>
        <w:t>June</w:t>
      </w:r>
      <w:r w:rsidR="00DF24C0" w:rsidRPr="0074017C">
        <w:t xml:space="preserve"> 2014</w:t>
      </w:r>
    </w:p>
    <w:p w:rsidR="00DF24C0" w:rsidRPr="0074017C" w:rsidRDefault="00DF24C0" w:rsidP="00DC10CD">
      <w:pPr>
        <w:spacing w:after="0" w:line="240" w:lineRule="auto"/>
      </w:pPr>
      <w:r w:rsidRPr="0074017C">
        <w:t xml:space="preserve">Prepared by: </w:t>
      </w:r>
    </w:p>
    <w:p w:rsidR="00774836" w:rsidRPr="0074017C" w:rsidRDefault="00DF24C0" w:rsidP="00DC10CD">
      <w:pPr>
        <w:spacing w:after="0" w:line="240" w:lineRule="auto"/>
      </w:pPr>
      <w:r w:rsidRPr="0074017C">
        <w:t>Luka Voncina, MD, PhD</w:t>
      </w:r>
    </w:p>
    <w:p w:rsidR="00C83262" w:rsidRPr="0074017C" w:rsidRDefault="00DD7A6F" w:rsidP="00DC10CD">
      <w:pPr>
        <w:spacing w:after="0" w:line="240" w:lineRule="auto"/>
      </w:pPr>
      <w:r w:rsidRPr="0074017C">
        <w:t>Julia Sallaku, BSc, MSc</w:t>
      </w:r>
    </w:p>
    <w:p w:rsidR="00774836" w:rsidRPr="0074017C" w:rsidRDefault="00774836" w:rsidP="00DC10CD">
      <w:pPr>
        <w:spacing w:after="0" w:line="240" w:lineRule="auto"/>
        <w:rPr>
          <w:b/>
        </w:rPr>
      </w:pPr>
    </w:p>
    <w:p w:rsidR="00774836" w:rsidRPr="0074017C" w:rsidRDefault="00774836" w:rsidP="00DC10CD">
      <w:pPr>
        <w:spacing w:after="0" w:line="240" w:lineRule="auto"/>
        <w:rPr>
          <w:b/>
        </w:rPr>
      </w:pPr>
    </w:p>
    <w:p w:rsidR="009B4ED9" w:rsidRPr="0074017C" w:rsidRDefault="009B4ED9" w:rsidP="00DC10CD">
      <w:pPr>
        <w:spacing w:after="0" w:line="240" w:lineRule="auto"/>
        <w:rPr>
          <w:b/>
        </w:rPr>
      </w:pPr>
    </w:p>
    <w:p w:rsidR="009B4ED9" w:rsidRPr="0074017C" w:rsidRDefault="009B4ED9" w:rsidP="00DC10CD">
      <w:pPr>
        <w:spacing w:after="0" w:line="240" w:lineRule="auto"/>
        <w:rPr>
          <w:b/>
        </w:rPr>
      </w:pPr>
    </w:p>
    <w:p w:rsidR="00774836" w:rsidRPr="0074017C" w:rsidRDefault="00774836" w:rsidP="00DC10CD">
      <w:pPr>
        <w:spacing w:after="0" w:line="240" w:lineRule="auto"/>
        <w:rPr>
          <w:b/>
        </w:rPr>
      </w:pPr>
    </w:p>
    <w:p w:rsidR="00774836" w:rsidRPr="0074017C" w:rsidRDefault="00774836" w:rsidP="00DC10CD">
      <w:pPr>
        <w:spacing w:after="0" w:line="240" w:lineRule="auto"/>
        <w:rPr>
          <w:b/>
        </w:rPr>
      </w:pPr>
    </w:p>
    <w:p w:rsidR="00774836" w:rsidRPr="0074017C" w:rsidRDefault="00774836" w:rsidP="00DC10CD">
      <w:pPr>
        <w:spacing w:after="0" w:line="240" w:lineRule="auto"/>
        <w:rPr>
          <w:b/>
        </w:rPr>
      </w:pPr>
    </w:p>
    <w:p w:rsidR="00774836" w:rsidRPr="0074017C" w:rsidRDefault="00774836" w:rsidP="00DC10CD">
      <w:pPr>
        <w:spacing w:after="0" w:line="240" w:lineRule="auto"/>
        <w:rPr>
          <w:b/>
        </w:rPr>
      </w:pPr>
    </w:p>
    <w:p w:rsidR="00774836" w:rsidRPr="0074017C" w:rsidRDefault="00774836" w:rsidP="00DC10CD">
      <w:pPr>
        <w:spacing w:after="0" w:line="240" w:lineRule="auto"/>
        <w:rPr>
          <w:b/>
        </w:rPr>
      </w:pPr>
    </w:p>
    <w:p w:rsidR="00FB3FE1" w:rsidRPr="0074017C" w:rsidRDefault="00FB3FE1" w:rsidP="00DC10CD">
      <w:pPr>
        <w:spacing w:after="0" w:line="240" w:lineRule="auto"/>
        <w:rPr>
          <w:b/>
        </w:rPr>
      </w:pPr>
    </w:p>
    <w:p w:rsidR="00FB3FE1" w:rsidRPr="0074017C" w:rsidRDefault="00FB3FE1" w:rsidP="00DC10CD">
      <w:pPr>
        <w:spacing w:after="0" w:line="240" w:lineRule="auto"/>
        <w:rPr>
          <w:b/>
        </w:rPr>
      </w:pPr>
    </w:p>
    <w:p w:rsidR="00FB3FE1" w:rsidRPr="0074017C" w:rsidRDefault="00FB3FE1" w:rsidP="00DC10CD">
      <w:pPr>
        <w:spacing w:after="0" w:line="240" w:lineRule="auto"/>
        <w:rPr>
          <w:b/>
        </w:rPr>
      </w:pPr>
    </w:p>
    <w:p w:rsidR="00774836" w:rsidRPr="0074017C" w:rsidRDefault="00774836" w:rsidP="00DC10CD">
      <w:pPr>
        <w:spacing w:after="0" w:line="240" w:lineRule="auto"/>
        <w:rPr>
          <w:b/>
        </w:rPr>
      </w:pPr>
    </w:p>
    <w:p w:rsidR="00774836" w:rsidRPr="0074017C" w:rsidRDefault="00774836" w:rsidP="00DC10CD">
      <w:pPr>
        <w:spacing w:after="0" w:line="240" w:lineRule="auto"/>
        <w:rPr>
          <w:b/>
        </w:rPr>
      </w:pPr>
    </w:p>
    <w:p w:rsidR="00DF24C0" w:rsidRPr="0074017C" w:rsidRDefault="00DF24C0" w:rsidP="00DC10CD">
      <w:pPr>
        <w:spacing w:after="0" w:line="240" w:lineRule="auto"/>
        <w:rPr>
          <w:b/>
        </w:rPr>
      </w:pPr>
    </w:p>
    <w:p w:rsidR="00DF24C0" w:rsidRPr="0074017C" w:rsidRDefault="00DF24C0" w:rsidP="00DC10CD">
      <w:pPr>
        <w:spacing w:after="0" w:line="240" w:lineRule="auto"/>
        <w:rPr>
          <w:b/>
        </w:rPr>
      </w:pPr>
    </w:p>
    <w:p w:rsidR="00DF24C0" w:rsidRPr="0074017C" w:rsidRDefault="00DF24C0" w:rsidP="00DC10CD">
      <w:pPr>
        <w:spacing w:after="0" w:line="240" w:lineRule="auto"/>
        <w:rPr>
          <w:b/>
        </w:rPr>
      </w:pPr>
    </w:p>
    <w:p w:rsidR="00DF24C0" w:rsidRPr="0074017C" w:rsidRDefault="00DF24C0" w:rsidP="00DC10CD">
      <w:pPr>
        <w:spacing w:after="0" w:line="240" w:lineRule="auto"/>
        <w:rPr>
          <w:b/>
        </w:rPr>
      </w:pPr>
    </w:p>
    <w:p w:rsidR="00DF24C0" w:rsidRPr="0074017C" w:rsidRDefault="00DF24C0" w:rsidP="00DC10CD">
      <w:pPr>
        <w:spacing w:after="0" w:line="240" w:lineRule="auto"/>
        <w:rPr>
          <w:b/>
        </w:rPr>
      </w:pPr>
    </w:p>
    <w:p w:rsidR="00774836" w:rsidRPr="0074017C" w:rsidRDefault="00774836" w:rsidP="00DC10CD">
      <w:pPr>
        <w:spacing w:after="0" w:line="240" w:lineRule="auto"/>
        <w:rPr>
          <w:b/>
        </w:rPr>
      </w:pPr>
    </w:p>
    <w:p w:rsidR="009B4ED9" w:rsidRPr="0074017C" w:rsidRDefault="009B4ED9" w:rsidP="00DC10CD">
      <w:pPr>
        <w:spacing w:after="0" w:line="240" w:lineRule="auto"/>
        <w:rPr>
          <w:b/>
        </w:rPr>
      </w:pPr>
    </w:p>
    <w:p w:rsidR="004732BC" w:rsidRPr="0074017C" w:rsidRDefault="004732BC" w:rsidP="00DC10CD">
      <w:pPr>
        <w:spacing w:after="0" w:line="240" w:lineRule="auto"/>
        <w:rPr>
          <w:b/>
        </w:rPr>
      </w:pPr>
    </w:p>
    <w:p w:rsidR="004732BC" w:rsidRPr="0074017C" w:rsidRDefault="004732BC" w:rsidP="00DC10CD">
      <w:pPr>
        <w:spacing w:after="0" w:line="240" w:lineRule="auto"/>
        <w:rPr>
          <w:b/>
        </w:rPr>
      </w:pPr>
    </w:p>
    <w:sdt>
      <w:sdtPr>
        <w:rPr>
          <w:rFonts w:asciiTheme="minorHAnsi" w:eastAsiaTheme="minorHAnsi" w:hAnsiTheme="minorHAnsi" w:cstheme="minorBidi"/>
          <w:b w:val="0"/>
          <w:bCs w:val="0"/>
          <w:color w:val="auto"/>
          <w:sz w:val="22"/>
          <w:szCs w:val="22"/>
        </w:rPr>
        <w:id w:val="4139972"/>
        <w:docPartObj>
          <w:docPartGallery w:val="Table of Contents"/>
          <w:docPartUnique/>
        </w:docPartObj>
      </w:sdtPr>
      <w:sdtContent>
        <w:p w:rsidR="00E53E25" w:rsidRPr="0074017C" w:rsidRDefault="00E53E25" w:rsidP="00EF128A">
          <w:pPr>
            <w:pStyle w:val="TOCHeading"/>
            <w:spacing w:before="0" w:line="240" w:lineRule="auto"/>
          </w:pPr>
          <w:r w:rsidRPr="0074017C">
            <w:t>Contents</w:t>
          </w:r>
        </w:p>
        <w:p w:rsidR="00E53E25" w:rsidRPr="0074017C" w:rsidRDefault="00E53E25" w:rsidP="00EF128A">
          <w:pPr>
            <w:pStyle w:val="TOC1"/>
            <w:tabs>
              <w:tab w:val="right" w:leader="dot" w:pos="9350"/>
            </w:tabs>
            <w:spacing w:after="0" w:line="240" w:lineRule="auto"/>
          </w:pPr>
        </w:p>
        <w:p w:rsidR="00206246" w:rsidRDefault="000A3BB1">
          <w:pPr>
            <w:pStyle w:val="TOC1"/>
            <w:tabs>
              <w:tab w:val="right" w:leader="dot" w:pos="9350"/>
            </w:tabs>
            <w:rPr>
              <w:rFonts w:eastAsiaTheme="minorEastAsia"/>
              <w:noProof/>
            </w:rPr>
          </w:pPr>
          <w:r w:rsidRPr="0074017C">
            <w:fldChar w:fldCharType="begin"/>
          </w:r>
          <w:r w:rsidR="00E53E25" w:rsidRPr="0074017C">
            <w:instrText xml:space="preserve"> TOC \o "1-3" \h \z \u </w:instrText>
          </w:r>
          <w:r w:rsidRPr="0074017C">
            <w:fldChar w:fldCharType="separate"/>
          </w:r>
          <w:hyperlink w:anchor="_Toc391556298" w:history="1">
            <w:r w:rsidR="00206246" w:rsidRPr="004E245A">
              <w:rPr>
                <w:rStyle w:val="Hyperlink"/>
                <w:noProof/>
              </w:rPr>
              <w:t>Abbreviations</w:t>
            </w:r>
            <w:r w:rsidR="00206246">
              <w:rPr>
                <w:noProof/>
                <w:webHidden/>
              </w:rPr>
              <w:tab/>
            </w:r>
            <w:r>
              <w:rPr>
                <w:noProof/>
                <w:webHidden/>
              </w:rPr>
              <w:fldChar w:fldCharType="begin"/>
            </w:r>
            <w:r w:rsidR="00206246">
              <w:rPr>
                <w:noProof/>
                <w:webHidden/>
              </w:rPr>
              <w:instrText xml:space="preserve"> PAGEREF _Toc391556298 \h </w:instrText>
            </w:r>
            <w:r>
              <w:rPr>
                <w:noProof/>
                <w:webHidden/>
              </w:rPr>
            </w:r>
            <w:r>
              <w:rPr>
                <w:noProof/>
                <w:webHidden/>
              </w:rPr>
              <w:fldChar w:fldCharType="separate"/>
            </w:r>
            <w:r w:rsidR="00206246">
              <w:rPr>
                <w:noProof/>
                <w:webHidden/>
              </w:rPr>
              <w:t>3</w:t>
            </w:r>
            <w:r>
              <w:rPr>
                <w:noProof/>
                <w:webHidden/>
              </w:rPr>
              <w:fldChar w:fldCharType="end"/>
            </w:r>
          </w:hyperlink>
        </w:p>
        <w:p w:rsidR="00206246" w:rsidRDefault="000A3BB1">
          <w:pPr>
            <w:pStyle w:val="TOC1"/>
            <w:tabs>
              <w:tab w:val="right" w:leader="dot" w:pos="9350"/>
            </w:tabs>
            <w:rPr>
              <w:rFonts w:eastAsiaTheme="minorEastAsia"/>
              <w:noProof/>
            </w:rPr>
          </w:pPr>
          <w:hyperlink w:anchor="_Toc391556299" w:history="1">
            <w:r w:rsidR="00206246" w:rsidRPr="004E245A">
              <w:rPr>
                <w:rStyle w:val="Hyperlink"/>
                <w:noProof/>
              </w:rPr>
              <w:t>Executive summary</w:t>
            </w:r>
            <w:r w:rsidR="00206246">
              <w:rPr>
                <w:noProof/>
                <w:webHidden/>
              </w:rPr>
              <w:tab/>
            </w:r>
            <w:r>
              <w:rPr>
                <w:noProof/>
                <w:webHidden/>
              </w:rPr>
              <w:fldChar w:fldCharType="begin"/>
            </w:r>
            <w:r w:rsidR="00206246">
              <w:rPr>
                <w:noProof/>
                <w:webHidden/>
              </w:rPr>
              <w:instrText xml:space="preserve"> PAGEREF _Toc391556299 \h </w:instrText>
            </w:r>
            <w:r>
              <w:rPr>
                <w:noProof/>
                <w:webHidden/>
              </w:rPr>
            </w:r>
            <w:r>
              <w:rPr>
                <w:noProof/>
                <w:webHidden/>
              </w:rPr>
              <w:fldChar w:fldCharType="separate"/>
            </w:r>
            <w:r w:rsidR="00206246">
              <w:rPr>
                <w:noProof/>
                <w:webHidden/>
              </w:rPr>
              <w:t>4</w:t>
            </w:r>
            <w:r>
              <w:rPr>
                <w:noProof/>
                <w:webHidden/>
              </w:rPr>
              <w:fldChar w:fldCharType="end"/>
            </w:r>
          </w:hyperlink>
        </w:p>
        <w:p w:rsidR="00206246" w:rsidRDefault="000A3BB1">
          <w:pPr>
            <w:pStyle w:val="TOC1"/>
            <w:tabs>
              <w:tab w:val="right" w:leader="dot" w:pos="9350"/>
            </w:tabs>
            <w:rPr>
              <w:rFonts w:eastAsiaTheme="minorEastAsia"/>
              <w:noProof/>
            </w:rPr>
          </w:pPr>
          <w:hyperlink w:anchor="_Toc391556300" w:history="1">
            <w:r w:rsidR="00206246" w:rsidRPr="004E245A">
              <w:rPr>
                <w:rStyle w:val="Hyperlink"/>
                <w:noProof/>
              </w:rPr>
              <w:t>Background and overview</w:t>
            </w:r>
            <w:r w:rsidR="00206246">
              <w:rPr>
                <w:noProof/>
                <w:webHidden/>
              </w:rPr>
              <w:tab/>
            </w:r>
            <w:r>
              <w:rPr>
                <w:noProof/>
                <w:webHidden/>
              </w:rPr>
              <w:fldChar w:fldCharType="begin"/>
            </w:r>
            <w:r w:rsidR="00206246">
              <w:rPr>
                <w:noProof/>
                <w:webHidden/>
              </w:rPr>
              <w:instrText xml:space="preserve"> PAGEREF _Toc391556300 \h </w:instrText>
            </w:r>
            <w:r>
              <w:rPr>
                <w:noProof/>
                <w:webHidden/>
              </w:rPr>
            </w:r>
            <w:r>
              <w:rPr>
                <w:noProof/>
                <w:webHidden/>
              </w:rPr>
              <w:fldChar w:fldCharType="separate"/>
            </w:r>
            <w:r w:rsidR="00206246">
              <w:rPr>
                <w:noProof/>
                <w:webHidden/>
              </w:rPr>
              <w:t>8</w:t>
            </w:r>
            <w:r>
              <w:rPr>
                <w:noProof/>
                <w:webHidden/>
              </w:rPr>
              <w:fldChar w:fldCharType="end"/>
            </w:r>
          </w:hyperlink>
        </w:p>
        <w:p w:rsidR="00206246" w:rsidRDefault="000A3BB1">
          <w:pPr>
            <w:pStyle w:val="TOC2"/>
            <w:rPr>
              <w:rFonts w:eastAsiaTheme="minorEastAsia"/>
              <w:noProof/>
            </w:rPr>
          </w:pPr>
          <w:hyperlink w:anchor="_Toc391556301" w:history="1">
            <w:r w:rsidR="00206246" w:rsidRPr="004E245A">
              <w:rPr>
                <w:rStyle w:val="Hyperlink"/>
                <w:noProof/>
              </w:rPr>
              <w:t>Medicines in the Context of the Albanian Health Care System</w:t>
            </w:r>
            <w:r w:rsidR="00206246">
              <w:rPr>
                <w:noProof/>
                <w:webHidden/>
              </w:rPr>
              <w:tab/>
            </w:r>
            <w:r>
              <w:rPr>
                <w:noProof/>
                <w:webHidden/>
              </w:rPr>
              <w:fldChar w:fldCharType="begin"/>
            </w:r>
            <w:r w:rsidR="00206246">
              <w:rPr>
                <w:noProof/>
                <w:webHidden/>
              </w:rPr>
              <w:instrText xml:space="preserve"> PAGEREF _Toc391556301 \h </w:instrText>
            </w:r>
            <w:r>
              <w:rPr>
                <w:noProof/>
                <w:webHidden/>
              </w:rPr>
            </w:r>
            <w:r>
              <w:rPr>
                <w:noProof/>
                <w:webHidden/>
              </w:rPr>
              <w:fldChar w:fldCharType="separate"/>
            </w:r>
            <w:r w:rsidR="00206246">
              <w:rPr>
                <w:noProof/>
                <w:webHidden/>
              </w:rPr>
              <w:t>8</w:t>
            </w:r>
            <w:r>
              <w:rPr>
                <w:noProof/>
                <w:webHidden/>
              </w:rPr>
              <w:fldChar w:fldCharType="end"/>
            </w:r>
          </w:hyperlink>
        </w:p>
        <w:p w:rsidR="00206246" w:rsidRDefault="000A3BB1">
          <w:pPr>
            <w:pStyle w:val="TOC2"/>
            <w:rPr>
              <w:rFonts w:eastAsiaTheme="minorEastAsia"/>
              <w:noProof/>
            </w:rPr>
          </w:pPr>
          <w:hyperlink w:anchor="_Toc391556302" w:history="1">
            <w:r w:rsidR="00206246" w:rsidRPr="004E245A">
              <w:rPr>
                <w:rStyle w:val="Hyperlink"/>
                <w:noProof/>
              </w:rPr>
              <w:t>Pharmaceutical Market in Albania</w:t>
            </w:r>
            <w:r w:rsidR="00206246">
              <w:rPr>
                <w:noProof/>
                <w:webHidden/>
              </w:rPr>
              <w:tab/>
            </w:r>
            <w:r>
              <w:rPr>
                <w:noProof/>
                <w:webHidden/>
              </w:rPr>
              <w:fldChar w:fldCharType="begin"/>
            </w:r>
            <w:r w:rsidR="00206246">
              <w:rPr>
                <w:noProof/>
                <w:webHidden/>
              </w:rPr>
              <w:instrText xml:space="preserve"> PAGEREF _Toc391556302 \h </w:instrText>
            </w:r>
            <w:r>
              <w:rPr>
                <w:noProof/>
                <w:webHidden/>
              </w:rPr>
            </w:r>
            <w:r>
              <w:rPr>
                <w:noProof/>
                <w:webHidden/>
              </w:rPr>
              <w:fldChar w:fldCharType="separate"/>
            </w:r>
            <w:r w:rsidR="00206246">
              <w:rPr>
                <w:noProof/>
                <w:webHidden/>
              </w:rPr>
              <w:t>10</w:t>
            </w:r>
            <w:r>
              <w:rPr>
                <w:noProof/>
                <w:webHidden/>
              </w:rPr>
              <w:fldChar w:fldCharType="end"/>
            </w:r>
          </w:hyperlink>
        </w:p>
        <w:p w:rsidR="00206246" w:rsidRDefault="000A3BB1">
          <w:pPr>
            <w:pStyle w:val="TOC1"/>
            <w:tabs>
              <w:tab w:val="right" w:leader="dot" w:pos="9350"/>
            </w:tabs>
            <w:rPr>
              <w:rFonts w:eastAsiaTheme="minorEastAsia"/>
              <w:noProof/>
            </w:rPr>
          </w:pPr>
          <w:hyperlink w:anchor="_Toc391556303" w:history="1">
            <w:r w:rsidR="00206246" w:rsidRPr="004E245A">
              <w:rPr>
                <w:rStyle w:val="Hyperlink"/>
                <w:noProof/>
              </w:rPr>
              <w:t>Pricing and Reimbursement of Medicines</w:t>
            </w:r>
            <w:r w:rsidR="00206246">
              <w:rPr>
                <w:noProof/>
                <w:webHidden/>
              </w:rPr>
              <w:tab/>
            </w:r>
            <w:r>
              <w:rPr>
                <w:noProof/>
                <w:webHidden/>
              </w:rPr>
              <w:fldChar w:fldCharType="begin"/>
            </w:r>
            <w:r w:rsidR="00206246">
              <w:rPr>
                <w:noProof/>
                <w:webHidden/>
              </w:rPr>
              <w:instrText xml:space="preserve"> PAGEREF _Toc391556303 \h </w:instrText>
            </w:r>
            <w:r>
              <w:rPr>
                <w:noProof/>
                <w:webHidden/>
              </w:rPr>
            </w:r>
            <w:r>
              <w:rPr>
                <w:noProof/>
                <w:webHidden/>
              </w:rPr>
              <w:fldChar w:fldCharType="separate"/>
            </w:r>
            <w:r w:rsidR="00206246">
              <w:rPr>
                <w:noProof/>
                <w:webHidden/>
              </w:rPr>
              <w:t>13</w:t>
            </w:r>
            <w:r>
              <w:rPr>
                <w:noProof/>
                <w:webHidden/>
              </w:rPr>
              <w:fldChar w:fldCharType="end"/>
            </w:r>
          </w:hyperlink>
        </w:p>
        <w:p w:rsidR="00206246" w:rsidRDefault="000A3BB1">
          <w:pPr>
            <w:pStyle w:val="TOC2"/>
            <w:rPr>
              <w:rFonts w:eastAsiaTheme="minorEastAsia"/>
              <w:noProof/>
            </w:rPr>
          </w:pPr>
          <w:hyperlink w:anchor="_Toc391556304" w:history="1">
            <w:r w:rsidR="00206246" w:rsidRPr="004E245A">
              <w:rPr>
                <w:rStyle w:val="Hyperlink"/>
                <w:noProof/>
              </w:rPr>
              <w:t>Pricing</w:t>
            </w:r>
            <w:r w:rsidR="00206246">
              <w:rPr>
                <w:noProof/>
                <w:webHidden/>
              </w:rPr>
              <w:tab/>
            </w:r>
            <w:r>
              <w:rPr>
                <w:noProof/>
                <w:webHidden/>
              </w:rPr>
              <w:fldChar w:fldCharType="begin"/>
            </w:r>
            <w:r w:rsidR="00206246">
              <w:rPr>
                <w:noProof/>
                <w:webHidden/>
              </w:rPr>
              <w:instrText xml:space="preserve"> PAGEREF _Toc391556304 \h </w:instrText>
            </w:r>
            <w:r>
              <w:rPr>
                <w:noProof/>
                <w:webHidden/>
              </w:rPr>
            </w:r>
            <w:r>
              <w:rPr>
                <w:noProof/>
                <w:webHidden/>
              </w:rPr>
              <w:fldChar w:fldCharType="separate"/>
            </w:r>
            <w:r w:rsidR="00206246">
              <w:rPr>
                <w:noProof/>
                <w:webHidden/>
              </w:rPr>
              <w:t>13</w:t>
            </w:r>
            <w:r>
              <w:rPr>
                <w:noProof/>
                <w:webHidden/>
              </w:rPr>
              <w:fldChar w:fldCharType="end"/>
            </w:r>
          </w:hyperlink>
        </w:p>
        <w:p w:rsidR="00206246" w:rsidRDefault="000A3BB1">
          <w:pPr>
            <w:pStyle w:val="TOC2"/>
            <w:rPr>
              <w:rFonts w:eastAsiaTheme="minorEastAsia"/>
              <w:noProof/>
            </w:rPr>
          </w:pPr>
          <w:hyperlink w:anchor="_Toc391556305" w:history="1">
            <w:r w:rsidR="00206246" w:rsidRPr="004E245A">
              <w:rPr>
                <w:rStyle w:val="Hyperlink"/>
                <w:noProof/>
              </w:rPr>
              <w:t>Reimbursement</w:t>
            </w:r>
            <w:r w:rsidR="00206246">
              <w:rPr>
                <w:noProof/>
                <w:webHidden/>
              </w:rPr>
              <w:tab/>
            </w:r>
            <w:r>
              <w:rPr>
                <w:noProof/>
                <w:webHidden/>
              </w:rPr>
              <w:fldChar w:fldCharType="begin"/>
            </w:r>
            <w:r w:rsidR="00206246">
              <w:rPr>
                <w:noProof/>
                <w:webHidden/>
              </w:rPr>
              <w:instrText xml:space="preserve"> PAGEREF _Toc391556305 \h </w:instrText>
            </w:r>
            <w:r>
              <w:rPr>
                <w:noProof/>
                <w:webHidden/>
              </w:rPr>
            </w:r>
            <w:r>
              <w:rPr>
                <w:noProof/>
                <w:webHidden/>
              </w:rPr>
              <w:fldChar w:fldCharType="separate"/>
            </w:r>
            <w:r w:rsidR="00206246">
              <w:rPr>
                <w:noProof/>
                <w:webHidden/>
              </w:rPr>
              <w:t>13</w:t>
            </w:r>
            <w:r>
              <w:rPr>
                <w:noProof/>
                <w:webHidden/>
              </w:rPr>
              <w:fldChar w:fldCharType="end"/>
            </w:r>
          </w:hyperlink>
        </w:p>
        <w:p w:rsidR="00206246" w:rsidRDefault="000A3BB1">
          <w:pPr>
            <w:pStyle w:val="TOC1"/>
            <w:tabs>
              <w:tab w:val="right" w:leader="dot" w:pos="9350"/>
            </w:tabs>
            <w:rPr>
              <w:rFonts w:eastAsiaTheme="minorEastAsia"/>
              <w:noProof/>
            </w:rPr>
          </w:pPr>
          <w:hyperlink w:anchor="_Toc391556306" w:history="1">
            <w:r w:rsidR="00206246" w:rsidRPr="004E245A">
              <w:rPr>
                <w:rStyle w:val="Hyperlink"/>
                <w:noProof/>
              </w:rPr>
              <w:t>Prescribing and dispensing</w:t>
            </w:r>
            <w:r w:rsidR="00206246">
              <w:rPr>
                <w:noProof/>
                <w:webHidden/>
              </w:rPr>
              <w:tab/>
            </w:r>
            <w:r>
              <w:rPr>
                <w:noProof/>
                <w:webHidden/>
              </w:rPr>
              <w:fldChar w:fldCharType="begin"/>
            </w:r>
            <w:r w:rsidR="00206246">
              <w:rPr>
                <w:noProof/>
                <w:webHidden/>
              </w:rPr>
              <w:instrText xml:space="preserve"> PAGEREF _Toc391556306 \h </w:instrText>
            </w:r>
            <w:r>
              <w:rPr>
                <w:noProof/>
                <w:webHidden/>
              </w:rPr>
            </w:r>
            <w:r>
              <w:rPr>
                <w:noProof/>
                <w:webHidden/>
              </w:rPr>
              <w:fldChar w:fldCharType="separate"/>
            </w:r>
            <w:r w:rsidR="00206246">
              <w:rPr>
                <w:noProof/>
                <w:webHidden/>
              </w:rPr>
              <w:t>15</w:t>
            </w:r>
            <w:r>
              <w:rPr>
                <w:noProof/>
                <w:webHidden/>
              </w:rPr>
              <w:fldChar w:fldCharType="end"/>
            </w:r>
          </w:hyperlink>
        </w:p>
        <w:p w:rsidR="00206246" w:rsidRDefault="000A3BB1">
          <w:pPr>
            <w:pStyle w:val="TOC1"/>
            <w:tabs>
              <w:tab w:val="right" w:leader="dot" w:pos="9350"/>
            </w:tabs>
            <w:rPr>
              <w:rFonts w:eastAsiaTheme="minorEastAsia"/>
              <w:noProof/>
            </w:rPr>
          </w:pPr>
          <w:hyperlink w:anchor="_Toc391556307" w:history="1">
            <w:r w:rsidR="00206246" w:rsidRPr="004E245A">
              <w:rPr>
                <w:rStyle w:val="Hyperlink"/>
                <w:noProof/>
              </w:rPr>
              <w:t>IT: ePrescriptions and Track &amp; Trace Technology</w:t>
            </w:r>
            <w:r w:rsidR="00206246">
              <w:rPr>
                <w:noProof/>
                <w:webHidden/>
              </w:rPr>
              <w:tab/>
            </w:r>
            <w:r>
              <w:rPr>
                <w:noProof/>
                <w:webHidden/>
              </w:rPr>
              <w:fldChar w:fldCharType="begin"/>
            </w:r>
            <w:r w:rsidR="00206246">
              <w:rPr>
                <w:noProof/>
                <w:webHidden/>
              </w:rPr>
              <w:instrText xml:space="preserve"> PAGEREF _Toc391556307 \h </w:instrText>
            </w:r>
            <w:r>
              <w:rPr>
                <w:noProof/>
                <w:webHidden/>
              </w:rPr>
            </w:r>
            <w:r>
              <w:rPr>
                <w:noProof/>
                <w:webHidden/>
              </w:rPr>
              <w:fldChar w:fldCharType="separate"/>
            </w:r>
            <w:r w:rsidR="00206246">
              <w:rPr>
                <w:noProof/>
                <w:webHidden/>
              </w:rPr>
              <w:t>22</w:t>
            </w:r>
            <w:r>
              <w:rPr>
                <w:noProof/>
                <w:webHidden/>
              </w:rPr>
              <w:fldChar w:fldCharType="end"/>
            </w:r>
          </w:hyperlink>
        </w:p>
        <w:p w:rsidR="00206246" w:rsidRDefault="000A3BB1">
          <w:pPr>
            <w:pStyle w:val="TOC1"/>
            <w:tabs>
              <w:tab w:val="right" w:leader="dot" w:pos="9350"/>
            </w:tabs>
            <w:rPr>
              <w:rFonts w:eastAsiaTheme="minorEastAsia"/>
              <w:noProof/>
            </w:rPr>
          </w:pPr>
          <w:hyperlink w:anchor="_Toc391556308" w:history="1">
            <w:r w:rsidR="00206246" w:rsidRPr="004E245A">
              <w:rPr>
                <w:rStyle w:val="Hyperlink"/>
                <w:noProof/>
              </w:rPr>
              <w:t>Review of Formulary Content, Prices and Expenditure</w:t>
            </w:r>
            <w:r w:rsidR="00206246">
              <w:rPr>
                <w:noProof/>
                <w:webHidden/>
              </w:rPr>
              <w:tab/>
            </w:r>
            <w:r>
              <w:rPr>
                <w:noProof/>
                <w:webHidden/>
              </w:rPr>
              <w:fldChar w:fldCharType="begin"/>
            </w:r>
            <w:r w:rsidR="00206246">
              <w:rPr>
                <w:noProof/>
                <w:webHidden/>
              </w:rPr>
              <w:instrText xml:space="preserve"> PAGEREF _Toc391556308 \h </w:instrText>
            </w:r>
            <w:r>
              <w:rPr>
                <w:noProof/>
                <w:webHidden/>
              </w:rPr>
            </w:r>
            <w:r>
              <w:rPr>
                <w:noProof/>
                <w:webHidden/>
              </w:rPr>
              <w:fldChar w:fldCharType="separate"/>
            </w:r>
            <w:r w:rsidR="00206246">
              <w:rPr>
                <w:noProof/>
                <w:webHidden/>
              </w:rPr>
              <w:t>23</w:t>
            </w:r>
            <w:r>
              <w:rPr>
                <w:noProof/>
                <w:webHidden/>
              </w:rPr>
              <w:fldChar w:fldCharType="end"/>
            </w:r>
          </w:hyperlink>
        </w:p>
        <w:p w:rsidR="00206246" w:rsidRDefault="000A3BB1">
          <w:pPr>
            <w:pStyle w:val="TOC2"/>
            <w:rPr>
              <w:rFonts w:eastAsiaTheme="minorEastAsia"/>
              <w:noProof/>
            </w:rPr>
          </w:pPr>
          <w:hyperlink w:anchor="_Toc391556309" w:history="1">
            <w:r w:rsidR="00206246" w:rsidRPr="004E245A">
              <w:rPr>
                <w:rStyle w:val="Hyperlink"/>
                <w:noProof/>
              </w:rPr>
              <w:t>Prescription Medicines&amp; Expensive Outpatient Medicines</w:t>
            </w:r>
            <w:r w:rsidR="00206246">
              <w:rPr>
                <w:noProof/>
                <w:webHidden/>
              </w:rPr>
              <w:tab/>
            </w:r>
            <w:r>
              <w:rPr>
                <w:noProof/>
                <w:webHidden/>
              </w:rPr>
              <w:fldChar w:fldCharType="begin"/>
            </w:r>
            <w:r w:rsidR="00206246">
              <w:rPr>
                <w:noProof/>
                <w:webHidden/>
              </w:rPr>
              <w:instrText xml:space="preserve"> PAGEREF _Toc391556309 \h </w:instrText>
            </w:r>
            <w:r>
              <w:rPr>
                <w:noProof/>
                <w:webHidden/>
              </w:rPr>
            </w:r>
            <w:r>
              <w:rPr>
                <w:noProof/>
                <w:webHidden/>
              </w:rPr>
              <w:fldChar w:fldCharType="separate"/>
            </w:r>
            <w:r w:rsidR="00206246">
              <w:rPr>
                <w:noProof/>
                <w:webHidden/>
              </w:rPr>
              <w:t>23</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0" w:history="1">
            <w:r w:rsidR="00206246" w:rsidRPr="004E245A">
              <w:rPr>
                <w:rStyle w:val="Hyperlink"/>
                <w:noProof/>
              </w:rPr>
              <w:t>List of reimbursed medicines – data and prices</w:t>
            </w:r>
            <w:r w:rsidR="00206246">
              <w:rPr>
                <w:noProof/>
                <w:webHidden/>
              </w:rPr>
              <w:tab/>
            </w:r>
            <w:r>
              <w:rPr>
                <w:noProof/>
                <w:webHidden/>
              </w:rPr>
              <w:fldChar w:fldCharType="begin"/>
            </w:r>
            <w:r w:rsidR="00206246">
              <w:rPr>
                <w:noProof/>
                <w:webHidden/>
              </w:rPr>
              <w:instrText xml:space="preserve"> PAGEREF _Toc391556310 \h </w:instrText>
            </w:r>
            <w:r>
              <w:rPr>
                <w:noProof/>
                <w:webHidden/>
              </w:rPr>
            </w:r>
            <w:r>
              <w:rPr>
                <w:noProof/>
                <w:webHidden/>
              </w:rPr>
              <w:fldChar w:fldCharType="separate"/>
            </w:r>
            <w:r w:rsidR="00206246">
              <w:rPr>
                <w:noProof/>
                <w:webHidden/>
              </w:rPr>
              <w:t>23</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1" w:history="1">
            <w:r w:rsidR="00206246" w:rsidRPr="004E245A">
              <w:rPr>
                <w:rStyle w:val="Hyperlink"/>
                <w:noProof/>
              </w:rPr>
              <w:t>Reimbursed medicines- therapeutic options</w:t>
            </w:r>
            <w:r w:rsidR="00206246">
              <w:rPr>
                <w:noProof/>
                <w:webHidden/>
              </w:rPr>
              <w:tab/>
            </w:r>
            <w:r>
              <w:rPr>
                <w:noProof/>
                <w:webHidden/>
              </w:rPr>
              <w:fldChar w:fldCharType="begin"/>
            </w:r>
            <w:r w:rsidR="00206246">
              <w:rPr>
                <w:noProof/>
                <w:webHidden/>
              </w:rPr>
              <w:instrText xml:space="preserve"> PAGEREF _Toc391556311 \h </w:instrText>
            </w:r>
            <w:r>
              <w:rPr>
                <w:noProof/>
                <w:webHidden/>
              </w:rPr>
            </w:r>
            <w:r>
              <w:rPr>
                <w:noProof/>
                <w:webHidden/>
              </w:rPr>
              <w:fldChar w:fldCharType="separate"/>
            </w:r>
            <w:r w:rsidR="00206246">
              <w:rPr>
                <w:noProof/>
                <w:webHidden/>
              </w:rPr>
              <w:t>24</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2" w:history="1">
            <w:r w:rsidR="00206246" w:rsidRPr="004E245A">
              <w:rPr>
                <w:rStyle w:val="Hyperlink"/>
                <w:noProof/>
              </w:rPr>
              <w:t>Value for Money</w:t>
            </w:r>
            <w:r w:rsidR="00206246">
              <w:rPr>
                <w:noProof/>
                <w:webHidden/>
              </w:rPr>
              <w:tab/>
            </w:r>
            <w:r>
              <w:rPr>
                <w:noProof/>
                <w:webHidden/>
              </w:rPr>
              <w:fldChar w:fldCharType="begin"/>
            </w:r>
            <w:r w:rsidR="00206246">
              <w:rPr>
                <w:noProof/>
                <w:webHidden/>
              </w:rPr>
              <w:instrText xml:space="preserve"> PAGEREF _Toc391556312 \h </w:instrText>
            </w:r>
            <w:r>
              <w:rPr>
                <w:noProof/>
                <w:webHidden/>
              </w:rPr>
            </w:r>
            <w:r>
              <w:rPr>
                <w:noProof/>
                <w:webHidden/>
              </w:rPr>
              <w:fldChar w:fldCharType="separate"/>
            </w:r>
            <w:r w:rsidR="00206246">
              <w:rPr>
                <w:noProof/>
                <w:webHidden/>
              </w:rPr>
              <w:t>25</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3" w:history="1">
            <w:r w:rsidR="00206246" w:rsidRPr="004E245A">
              <w:rPr>
                <w:rStyle w:val="Hyperlink"/>
                <w:noProof/>
              </w:rPr>
              <w:t>Price comparisons to Croatia, Serbia and FYR Macedonia</w:t>
            </w:r>
            <w:r w:rsidR="00206246">
              <w:rPr>
                <w:noProof/>
                <w:webHidden/>
              </w:rPr>
              <w:tab/>
            </w:r>
            <w:r>
              <w:rPr>
                <w:noProof/>
                <w:webHidden/>
              </w:rPr>
              <w:fldChar w:fldCharType="begin"/>
            </w:r>
            <w:r w:rsidR="00206246">
              <w:rPr>
                <w:noProof/>
                <w:webHidden/>
              </w:rPr>
              <w:instrText xml:space="preserve"> PAGEREF _Toc391556313 \h </w:instrText>
            </w:r>
            <w:r>
              <w:rPr>
                <w:noProof/>
                <w:webHidden/>
              </w:rPr>
            </w:r>
            <w:r>
              <w:rPr>
                <w:noProof/>
                <w:webHidden/>
              </w:rPr>
              <w:fldChar w:fldCharType="separate"/>
            </w:r>
            <w:r w:rsidR="00206246">
              <w:rPr>
                <w:noProof/>
                <w:webHidden/>
              </w:rPr>
              <w:t>30</w:t>
            </w:r>
            <w:r>
              <w:rPr>
                <w:noProof/>
                <w:webHidden/>
              </w:rPr>
              <w:fldChar w:fldCharType="end"/>
            </w:r>
          </w:hyperlink>
        </w:p>
        <w:p w:rsidR="00206246" w:rsidRDefault="000A3BB1">
          <w:pPr>
            <w:pStyle w:val="TOC2"/>
            <w:rPr>
              <w:rFonts w:eastAsiaTheme="minorEastAsia"/>
              <w:noProof/>
            </w:rPr>
          </w:pPr>
          <w:hyperlink w:anchor="_Toc391556314" w:history="1">
            <w:r w:rsidR="00206246" w:rsidRPr="004E245A">
              <w:rPr>
                <w:rStyle w:val="Hyperlink"/>
                <w:noProof/>
              </w:rPr>
              <w:t>Inpatient medicines</w:t>
            </w:r>
            <w:r w:rsidR="00206246">
              <w:rPr>
                <w:noProof/>
                <w:webHidden/>
              </w:rPr>
              <w:tab/>
            </w:r>
            <w:r>
              <w:rPr>
                <w:noProof/>
                <w:webHidden/>
              </w:rPr>
              <w:fldChar w:fldCharType="begin"/>
            </w:r>
            <w:r w:rsidR="00206246">
              <w:rPr>
                <w:noProof/>
                <w:webHidden/>
              </w:rPr>
              <w:instrText xml:space="preserve"> PAGEREF _Toc391556314 \h </w:instrText>
            </w:r>
            <w:r>
              <w:rPr>
                <w:noProof/>
                <w:webHidden/>
              </w:rPr>
            </w:r>
            <w:r>
              <w:rPr>
                <w:noProof/>
                <w:webHidden/>
              </w:rPr>
              <w:fldChar w:fldCharType="separate"/>
            </w:r>
            <w:r w:rsidR="00206246">
              <w:rPr>
                <w:noProof/>
                <w:webHidden/>
              </w:rPr>
              <w:t>32</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5" w:history="1">
            <w:r w:rsidR="00206246" w:rsidRPr="004E245A">
              <w:rPr>
                <w:rStyle w:val="Hyperlink"/>
                <w:noProof/>
              </w:rPr>
              <w:t>List of reimbursed medicines – data and prices</w:t>
            </w:r>
            <w:r w:rsidR="00206246">
              <w:rPr>
                <w:noProof/>
                <w:webHidden/>
              </w:rPr>
              <w:tab/>
            </w:r>
            <w:r>
              <w:rPr>
                <w:noProof/>
                <w:webHidden/>
              </w:rPr>
              <w:fldChar w:fldCharType="begin"/>
            </w:r>
            <w:r w:rsidR="00206246">
              <w:rPr>
                <w:noProof/>
                <w:webHidden/>
              </w:rPr>
              <w:instrText xml:space="preserve"> PAGEREF _Toc391556315 \h </w:instrText>
            </w:r>
            <w:r>
              <w:rPr>
                <w:noProof/>
                <w:webHidden/>
              </w:rPr>
            </w:r>
            <w:r>
              <w:rPr>
                <w:noProof/>
                <w:webHidden/>
              </w:rPr>
              <w:fldChar w:fldCharType="separate"/>
            </w:r>
            <w:r w:rsidR="00206246">
              <w:rPr>
                <w:noProof/>
                <w:webHidden/>
              </w:rPr>
              <w:t>32</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6" w:history="1">
            <w:r w:rsidR="00206246" w:rsidRPr="004E245A">
              <w:rPr>
                <w:rStyle w:val="Hyperlink"/>
                <w:noProof/>
              </w:rPr>
              <w:t>Reimbursed medicines - therapeutic options</w:t>
            </w:r>
            <w:r w:rsidR="00206246">
              <w:rPr>
                <w:noProof/>
                <w:webHidden/>
              </w:rPr>
              <w:tab/>
            </w:r>
            <w:r>
              <w:rPr>
                <w:noProof/>
                <w:webHidden/>
              </w:rPr>
              <w:fldChar w:fldCharType="begin"/>
            </w:r>
            <w:r w:rsidR="00206246">
              <w:rPr>
                <w:noProof/>
                <w:webHidden/>
              </w:rPr>
              <w:instrText xml:space="preserve"> PAGEREF _Toc391556316 \h </w:instrText>
            </w:r>
            <w:r>
              <w:rPr>
                <w:noProof/>
                <w:webHidden/>
              </w:rPr>
            </w:r>
            <w:r>
              <w:rPr>
                <w:noProof/>
                <w:webHidden/>
              </w:rPr>
              <w:fldChar w:fldCharType="separate"/>
            </w:r>
            <w:r w:rsidR="00206246">
              <w:rPr>
                <w:noProof/>
                <w:webHidden/>
              </w:rPr>
              <w:t>33</w:t>
            </w:r>
            <w:r>
              <w:rPr>
                <w:noProof/>
                <w:webHidden/>
              </w:rPr>
              <w:fldChar w:fldCharType="end"/>
            </w:r>
          </w:hyperlink>
        </w:p>
        <w:p w:rsidR="00206246" w:rsidRDefault="000A3BB1">
          <w:pPr>
            <w:pStyle w:val="TOC3"/>
            <w:tabs>
              <w:tab w:val="right" w:leader="dot" w:pos="9350"/>
            </w:tabs>
            <w:rPr>
              <w:rFonts w:eastAsiaTheme="minorEastAsia"/>
              <w:noProof/>
            </w:rPr>
          </w:pPr>
          <w:hyperlink w:anchor="_Toc391556317" w:history="1">
            <w:r w:rsidR="00206246" w:rsidRPr="004E245A">
              <w:rPr>
                <w:rStyle w:val="Hyperlink"/>
                <w:noProof/>
              </w:rPr>
              <w:t>Price comparisons to Croatia, Serbia and FYR Macedonia</w:t>
            </w:r>
            <w:r w:rsidR="00206246">
              <w:rPr>
                <w:noProof/>
                <w:webHidden/>
              </w:rPr>
              <w:tab/>
            </w:r>
            <w:r>
              <w:rPr>
                <w:noProof/>
                <w:webHidden/>
              </w:rPr>
              <w:fldChar w:fldCharType="begin"/>
            </w:r>
            <w:r w:rsidR="00206246">
              <w:rPr>
                <w:noProof/>
                <w:webHidden/>
              </w:rPr>
              <w:instrText xml:space="preserve"> PAGEREF _Toc391556317 \h </w:instrText>
            </w:r>
            <w:r>
              <w:rPr>
                <w:noProof/>
                <w:webHidden/>
              </w:rPr>
            </w:r>
            <w:r>
              <w:rPr>
                <w:noProof/>
                <w:webHidden/>
              </w:rPr>
              <w:fldChar w:fldCharType="separate"/>
            </w:r>
            <w:r w:rsidR="00206246">
              <w:rPr>
                <w:noProof/>
                <w:webHidden/>
              </w:rPr>
              <w:t>33</w:t>
            </w:r>
            <w:r>
              <w:rPr>
                <w:noProof/>
                <w:webHidden/>
              </w:rPr>
              <w:fldChar w:fldCharType="end"/>
            </w:r>
          </w:hyperlink>
        </w:p>
        <w:p w:rsidR="00206246" w:rsidRDefault="000A3BB1">
          <w:pPr>
            <w:pStyle w:val="TOC1"/>
            <w:tabs>
              <w:tab w:val="right" w:leader="dot" w:pos="9350"/>
            </w:tabs>
            <w:rPr>
              <w:rFonts w:eastAsiaTheme="minorEastAsia"/>
              <w:noProof/>
            </w:rPr>
          </w:pPr>
          <w:hyperlink w:anchor="_Toc391556318" w:history="1">
            <w:r w:rsidR="00206246" w:rsidRPr="004E245A">
              <w:rPr>
                <w:rStyle w:val="Hyperlink"/>
                <w:noProof/>
              </w:rPr>
              <w:t>Discussion and Recommendations</w:t>
            </w:r>
            <w:r w:rsidR="00206246">
              <w:rPr>
                <w:noProof/>
                <w:webHidden/>
              </w:rPr>
              <w:tab/>
            </w:r>
            <w:r>
              <w:rPr>
                <w:noProof/>
                <w:webHidden/>
              </w:rPr>
              <w:fldChar w:fldCharType="begin"/>
            </w:r>
            <w:r w:rsidR="00206246">
              <w:rPr>
                <w:noProof/>
                <w:webHidden/>
              </w:rPr>
              <w:instrText xml:space="preserve"> PAGEREF _Toc391556318 \h </w:instrText>
            </w:r>
            <w:r>
              <w:rPr>
                <w:noProof/>
                <w:webHidden/>
              </w:rPr>
            </w:r>
            <w:r>
              <w:rPr>
                <w:noProof/>
                <w:webHidden/>
              </w:rPr>
              <w:fldChar w:fldCharType="separate"/>
            </w:r>
            <w:r w:rsidR="00206246">
              <w:rPr>
                <w:noProof/>
                <w:webHidden/>
              </w:rPr>
              <w:t>35</w:t>
            </w:r>
            <w:r>
              <w:rPr>
                <w:noProof/>
                <w:webHidden/>
              </w:rPr>
              <w:fldChar w:fldCharType="end"/>
            </w:r>
          </w:hyperlink>
        </w:p>
        <w:p w:rsidR="00206246" w:rsidRDefault="000A3BB1">
          <w:pPr>
            <w:pStyle w:val="TOC2"/>
            <w:rPr>
              <w:rFonts w:eastAsiaTheme="minorEastAsia"/>
              <w:noProof/>
            </w:rPr>
          </w:pPr>
          <w:hyperlink w:anchor="_Toc391556319" w:history="1">
            <w:r w:rsidR="00206246" w:rsidRPr="004E245A">
              <w:rPr>
                <w:rStyle w:val="Hyperlink"/>
                <w:noProof/>
              </w:rPr>
              <w:t>Pricing</w:t>
            </w:r>
            <w:r w:rsidR="00206246">
              <w:rPr>
                <w:noProof/>
                <w:webHidden/>
              </w:rPr>
              <w:tab/>
            </w:r>
            <w:r>
              <w:rPr>
                <w:noProof/>
                <w:webHidden/>
              </w:rPr>
              <w:fldChar w:fldCharType="begin"/>
            </w:r>
            <w:r w:rsidR="00206246">
              <w:rPr>
                <w:noProof/>
                <w:webHidden/>
              </w:rPr>
              <w:instrText xml:space="preserve"> PAGEREF _Toc391556319 \h </w:instrText>
            </w:r>
            <w:r>
              <w:rPr>
                <w:noProof/>
                <w:webHidden/>
              </w:rPr>
            </w:r>
            <w:r>
              <w:rPr>
                <w:noProof/>
                <w:webHidden/>
              </w:rPr>
              <w:fldChar w:fldCharType="separate"/>
            </w:r>
            <w:r w:rsidR="00206246">
              <w:rPr>
                <w:noProof/>
                <w:webHidden/>
              </w:rPr>
              <w:t>36</w:t>
            </w:r>
            <w:r>
              <w:rPr>
                <w:noProof/>
                <w:webHidden/>
              </w:rPr>
              <w:fldChar w:fldCharType="end"/>
            </w:r>
          </w:hyperlink>
        </w:p>
        <w:p w:rsidR="00206246" w:rsidRDefault="000A3BB1">
          <w:pPr>
            <w:pStyle w:val="TOC2"/>
            <w:rPr>
              <w:rFonts w:eastAsiaTheme="minorEastAsia"/>
              <w:noProof/>
            </w:rPr>
          </w:pPr>
          <w:hyperlink w:anchor="_Toc391556320" w:history="1">
            <w:r w:rsidR="00206246" w:rsidRPr="004E245A">
              <w:rPr>
                <w:rStyle w:val="Hyperlink"/>
                <w:noProof/>
              </w:rPr>
              <w:t>Reimbursement</w:t>
            </w:r>
            <w:r w:rsidR="00206246">
              <w:rPr>
                <w:noProof/>
                <w:webHidden/>
              </w:rPr>
              <w:tab/>
            </w:r>
            <w:r>
              <w:rPr>
                <w:noProof/>
                <w:webHidden/>
              </w:rPr>
              <w:fldChar w:fldCharType="begin"/>
            </w:r>
            <w:r w:rsidR="00206246">
              <w:rPr>
                <w:noProof/>
                <w:webHidden/>
              </w:rPr>
              <w:instrText xml:space="preserve"> PAGEREF _Toc391556320 \h </w:instrText>
            </w:r>
            <w:r>
              <w:rPr>
                <w:noProof/>
                <w:webHidden/>
              </w:rPr>
            </w:r>
            <w:r>
              <w:rPr>
                <w:noProof/>
                <w:webHidden/>
              </w:rPr>
              <w:fldChar w:fldCharType="separate"/>
            </w:r>
            <w:r w:rsidR="00206246">
              <w:rPr>
                <w:noProof/>
                <w:webHidden/>
              </w:rPr>
              <w:t>37</w:t>
            </w:r>
            <w:r>
              <w:rPr>
                <w:noProof/>
                <w:webHidden/>
              </w:rPr>
              <w:fldChar w:fldCharType="end"/>
            </w:r>
          </w:hyperlink>
        </w:p>
        <w:p w:rsidR="00206246" w:rsidRDefault="000A3BB1">
          <w:pPr>
            <w:pStyle w:val="TOC2"/>
            <w:rPr>
              <w:rFonts w:eastAsiaTheme="minorEastAsia"/>
              <w:noProof/>
            </w:rPr>
          </w:pPr>
          <w:hyperlink w:anchor="_Toc391556321" w:history="1">
            <w:r w:rsidR="00206246" w:rsidRPr="004E245A">
              <w:rPr>
                <w:rStyle w:val="Hyperlink"/>
                <w:noProof/>
              </w:rPr>
              <w:t>Prescribing</w:t>
            </w:r>
            <w:r w:rsidR="00206246">
              <w:rPr>
                <w:noProof/>
                <w:webHidden/>
              </w:rPr>
              <w:tab/>
            </w:r>
            <w:r>
              <w:rPr>
                <w:noProof/>
                <w:webHidden/>
              </w:rPr>
              <w:fldChar w:fldCharType="begin"/>
            </w:r>
            <w:r w:rsidR="00206246">
              <w:rPr>
                <w:noProof/>
                <w:webHidden/>
              </w:rPr>
              <w:instrText xml:space="preserve"> PAGEREF _Toc391556321 \h </w:instrText>
            </w:r>
            <w:r>
              <w:rPr>
                <w:noProof/>
                <w:webHidden/>
              </w:rPr>
            </w:r>
            <w:r>
              <w:rPr>
                <w:noProof/>
                <w:webHidden/>
              </w:rPr>
              <w:fldChar w:fldCharType="separate"/>
            </w:r>
            <w:r w:rsidR="00206246">
              <w:rPr>
                <w:noProof/>
                <w:webHidden/>
              </w:rPr>
              <w:t>41</w:t>
            </w:r>
            <w:r>
              <w:rPr>
                <w:noProof/>
                <w:webHidden/>
              </w:rPr>
              <w:fldChar w:fldCharType="end"/>
            </w:r>
          </w:hyperlink>
        </w:p>
        <w:p w:rsidR="00206246" w:rsidRDefault="000A3BB1">
          <w:pPr>
            <w:pStyle w:val="TOC2"/>
            <w:rPr>
              <w:rFonts w:eastAsiaTheme="minorEastAsia"/>
              <w:noProof/>
            </w:rPr>
          </w:pPr>
          <w:hyperlink w:anchor="_Toc391556322" w:history="1">
            <w:r w:rsidR="00206246" w:rsidRPr="004E245A">
              <w:rPr>
                <w:rStyle w:val="Hyperlink"/>
                <w:noProof/>
              </w:rPr>
              <w:t>Dispensing</w:t>
            </w:r>
            <w:r w:rsidR="00206246">
              <w:rPr>
                <w:noProof/>
                <w:webHidden/>
              </w:rPr>
              <w:tab/>
            </w:r>
            <w:r>
              <w:rPr>
                <w:noProof/>
                <w:webHidden/>
              </w:rPr>
              <w:fldChar w:fldCharType="begin"/>
            </w:r>
            <w:r w:rsidR="00206246">
              <w:rPr>
                <w:noProof/>
                <w:webHidden/>
              </w:rPr>
              <w:instrText xml:space="preserve"> PAGEREF _Toc391556322 \h </w:instrText>
            </w:r>
            <w:r>
              <w:rPr>
                <w:noProof/>
                <w:webHidden/>
              </w:rPr>
            </w:r>
            <w:r>
              <w:rPr>
                <w:noProof/>
                <w:webHidden/>
              </w:rPr>
              <w:fldChar w:fldCharType="separate"/>
            </w:r>
            <w:r w:rsidR="00206246">
              <w:rPr>
                <w:noProof/>
                <w:webHidden/>
              </w:rPr>
              <w:t>42</w:t>
            </w:r>
            <w:r>
              <w:rPr>
                <w:noProof/>
                <w:webHidden/>
              </w:rPr>
              <w:fldChar w:fldCharType="end"/>
            </w:r>
          </w:hyperlink>
        </w:p>
        <w:p w:rsidR="00206246" w:rsidRDefault="000A3BB1">
          <w:pPr>
            <w:pStyle w:val="TOC2"/>
            <w:rPr>
              <w:rFonts w:eastAsiaTheme="minorEastAsia"/>
              <w:noProof/>
            </w:rPr>
          </w:pPr>
          <w:hyperlink w:anchor="_Toc391556323" w:history="1">
            <w:r w:rsidR="00206246" w:rsidRPr="004E245A">
              <w:rPr>
                <w:rStyle w:val="Hyperlink"/>
                <w:noProof/>
              </w:rPr>
              <w:t>Educating patients</w:t>
            </w:r>
            <w:r w:rsidR="00206246">
              <w:rPr>
                <w:noProof/>
                <w:webHidden/>
              </w:rPr>
              <w:tab/>
            </w:r>
            <w:r>
              <w:rPr>
                <w:noProof/>
                <w:webHidden/>
              </w:rPr>
              <w:fldChar w:fldCharType="begin"/>
            </w:r>
            <w:r w:rsidR="00206246">
              <w:rPr>
                <w:noProof/>
                <w:webHidden/>
              </w:rPr>
              <w:instrText xml:space="preserve"> PAGEREF _Toc391556323 \h </w:instrText>
            </w:r>
            <w:r>
              <w:rPr>
                <w:noProof/>
                <w:webHidden/>
              </w:rPr>
            </w:r>
            <w:r>
              <w:rPr>
                <w:noProof/>
                <w:webHidden/>
              </w:rPr>
              <w:fldChar w:fldCharType="separate"/>
            </w:r>
            <w:r w:rsidR="00206246">
              <w:rPr>
                <w:noProof/>
                <w:webHidden/>
              </w:rPr>
              <w:t>43</w:t>
            </w:r>
            <w:r>
              <w:rPr>
                <w:noProof/>
                <w:webHidden/>
              </w:rPr>
              <w:fldChar w:fldCharType="end"/>
            </w:r>
          </w:hyperlink>
        </w:p>
        <w:p w:rsidR="00206246" w:rsidRDefault="000A3BB1">
          <w:pPr>
            <w:pStyle w:val="TOC2"/>
            <w:rPr>
              <w:rFonts w:eastAsiaTheme="minorEastAsia"/>
              <w:noProof/>
            </w:rPr>
          </w:pPr>
          <w:hyperlink w:anchor="_Toc391556324" w:history="1">
            <w:r w:rsidR="00206246" w:rsidRPr="004E245A">
              <w:rPr>
                <w:rStyle w:val="Hyperlink"/>
                <w:noProof/>
              </w:rPr>
              <w:t>Copayments</w:t>
            </w:r>
            <w:r w:rsidR="00206246">
              <w:rPr>
                <w:noProof/>
                <w:webHidden/>
              </w:rPr>
              <w:tab/>
            </w:r>
            <w:r>
              <w:rPr>
                <w:noProof/>
                <w:webHidden/>
              </w:rPr>
              <w:fldChar w:fldCharType="begin"/>
            </w:r>
            <w:r w:rsidR="00206246">
              <w:rPr>
                <w:noProof/>
                <w:webHidden/>
              </w:rPr>
              <w:instrText xml:space="preserve"> PAGEREF _Toc391556324 \h </w:instrText>
            </w:r>
            <w:r>
              <w:rPr>
                <w:noProof/>
                <w:webHidden/>
              </w:rPr>
            </w:r>
            <w:r>
              <w:rPr>
                <w:noProof/>
                <w:webHidden/>
              </w:rPr>
              <w:fldChar w:fldCharType="separate"/>
            </w:r>
            <w:r w:rsidR="00206246">
              <w:rPr>
                <w:noProof/>
                <w:webHidden/>
              </w:rPr>
              <w:t>43</w:t>
            </w:r>
            <w:r>
              <w:rPr>
                <w:noProof/>
                <w:webHidden/>
              </w:rPr>
              <w:fldChar w:fldCharType="end"/>
            </w:r>
          </w:hyperlink>
        </w:p>
        <w:p w:rsidR="00206246" w:rsidRDefault="000A3BB1">
          <w:pPr>
            <w:pStyle w:val="TOC2"/>
            <w:rPr>
              <w:rFonts w:eastAsiaTheme="minorEastAsia"/>
              <w:noProof/>
            </w:rPr>
          </w:pPr>
          <w:hyperlink w:anchor="_Toc391556325" w:history="1">
            <w:r w:rsidR="00206246" w:rsidRPr="004E245A">
              <w:rPr>
                <w:rStyle w:val="Hyperlink"/>
                <w:noProof/>
              </w:rPr>
              <w:t>IT</w:t>
            </w:r>
            <w:r w:rsidR="00206246">
              <w:rPr>
                <w:noProof/>
                <w:webHidden/>
              </w:rPr>
              <w:tab/>
            </w:r>
            <w:r>
              <w:rPr>
                <w:noProof/>
                <w:webHidden/>
              </w:rPr>
              <w:fldChar w:fldCharType="begin"/>
            </w:r>
            <w:r w:rsidR="00206246">
              <w:rPr>
                <w:noProof/>
                <w:webHidden/>
              </w:rPr>
              <w:instrText xml:space="preserve"> PAGEREF _Toc391556325 \h </w:instrText>
            </w:r>
            <w:r>
              <w:rPr>
                <w:noProof/>
                <w:webHidden/>
              </w:rPr>
            </w:r>
            <w:r>
              <w:rPr>
                <w:noProof/>
                <w:webHidden/>
              </w:rPr>
              <w:fldChar w:fldCharType="separate"/>
            </w:r>
            <w:r w:rsidR="00206246">
              <w:rPr>
                <w:noProof/>
                <w:webHidden/>
              </w:rPr>
              <w:t>43</w:t>
            </w:r>
            <w:r>
              <w:rPr>
                <w:noProof/>
                <w:webHidden/>
              </w:rPr>
              <w:fldChar w:fldCharType="end"/>
            </w:r>
          </w:hyperlink>
        </w:p>
        <w:p w:rsidR="00206246" w:rsidRDefault="000A3BB1">
          <w:pPr>
            <w:pStyle w:val="TOC2"/>
            <w:rPr>
              <w:rFonts w:eastAsiaTheme="minorEastAsia"/>
              <w:noProof/>
            </w:rPr>
          </w:pPr>
          <w:hyperlink w:anchor="_Toc391556326" w:history="1">
            <w:r w:rsidR="00206246" w:rsidRPr="004E245A">
              <w:rPr>
                <w:rStyle w:val="Hyperlink"/>
                <w:noProof/>
              </w:rPr>
              <w:t>Access</w:t>
            </w:r>
            <w:r w:rsidR="00206246">
              <w:rPr>
                <w:noProof/>
                <w:webHidden/>
              </w:rPr>
              <w:tab/>
            </w:r>
            <w:r>
              <w:rPr>
                <w:noProof/>
                <w:webHidden/>
              </w:rPr>
              <w:fldChar w:fldCharType="begin"/>
            </w:r>
            <w:r w:rsidR="00206246">
              <w:rPr>
                <w:noProof/>
                <w:webHidden/>
              </w:rPr>
              <w:instrText xml:space="preserve"> PAGEREF _Toc391556326 \h </w:instrText>
            </w:r>
            <w:r>
              <w:rPr>
                <w:noProof/>
                <w:webHidden/>
              </w:rPr>
            </w:r>
            <w:r>
              <w:rPr>
                <w:noProof/>
                <w:webHidden/>
              </w:rPr>
              <w:fldChar w:fldCharType="separate"/>
            </w:r>
            <w:r w:rsidR="00206246">
              <w:rPr>
                <w:noProof/>
                <w:webHidden/>
              </w:rPr>
              <w:t>43</w:t>
            </w:r>
            <w:r>
              <w:rPr>
                <w:noProof/>
                <w:webHidden/>
              </w:rPr>
              <w:fldChar w:fldCharType="end"/>
            </w:r>
          </w:hyperlink>
        </w:p>
        <w:p w:rsidR="00206246" w:rsidRDefault="000A3BB1">
          <w:pPr>
            <w:pStyle w:val="TOC1"/>
            <w:tabs>
              <w:tab w:val="right" w:leader="dot" w:pos="9350"/>
            </w:tabs>
            <w:rPr>
              <w:rFonts w:eastAsiaTheme="minorEastAsia"/>
              <w:noProof/>
            </w:rPr>
          </w:pPr>
          <w:hyperlink w:anchor="_Toc391556327" w:history="1">
            <w:r w:rsidR="00206246" w:rsidRPr="004E245A">
              <w:rPr>
                <w:rStyle w:val="Hyperlink"/>
                <w:noProof/>
              </w:rPr>
              <w:t>Appendix 1 - Overview of pharmaceutical policies in CEE of interest for Albania</w:t>
            </w:r>
            <w:r w:rsidR="00206246">
              <w:rPr>
                <w:noProof/>
                <w:webHidden/>
              </w:rPr>
              <w:tab/>
            </w:r>
            <w:r>
              <w:rPr>
                <w:noProof/>
                <w:webHidden/>
              </w:rPr>
              <w:fldChar w:fldCharType="begin"/>
            </w:r>
            <w:r w:rsidR="00206246">
              <w:rPr>
                <w:noProof/>
                <w:webHidden/>
              </w:rPr>
              <w:instrText xml:space="preserve"> PAGEREF _Toc391556327 \h </w:instrText>
            </w:r>
            <w:r>
              <w:rPr>
                <w:noProof/>
                <w:webHidden/>
              </w:rPr>
            </w:r>
            <w:r>
              <w:rPr>
                <w:noProof/>
                <w:webHidden/>
              </w:rPr>
              <w:fldChar w:fldCharType="separate"/>
            </w:r>
            <w:r w:rsidR="00206246">
              <w:rPr>
                <w:noProof/>
                <w:webHidden/>
              </w:rPr>
              <w:t>45</w:t>
            </w:r>
            <w:r>
              <w:rPr>
                <w:noProof/>
                <w:webHidden/>
              </w:rPr>
              <w:fldChar w:fldCharType="end"/>
            </w:r>
          </w:hyperlink>
        </w:p>
        <w:p w:rsidR="00206246" w:rsidRDefault="000A3BB1">
          <w:pPr>
            <w:pStyle w:val="TOC1"/>
            <w:tabs>
              <w:tab w:val="right" w:leader="dot" w:pos="9350"/>
            </w:tabs>
            <w:rPr>
              <w:rFonts w:eastAsiaTheme="minorEastAsia"/>
              <w:noProof/>
            </w:rPr>
          </w:pPr>
          <w:hyperlink w:anchor="_Toc391556328" w:history="1">
            <w:r w:rsidR="00206246" w:rsidRPr="004E245A">
              <w:rPr>
                <w:rStyle w:val="Hyperlink"/>
                <w:noProof/>
              </w:rPr>
              <w:t>Appendix 2 - Glossary</w:t>
            </w:r>
            <w:r w:rsidR="00206246">
              <w:rPr>
                <w:noProof/>
                <w:webHidden/>
              </w:rPr>
              <w:tab/>
            </w:r>
            <w:r>
              <w:rPr>
                <w:noProof/>
                <w:webHidden/>
              </w:rPr>
              <w:fldChar w:fldCharType="begin"/>
            </w:r>
            <w:r w:rsidR="00206246">
              <w:rPr>
                <w:noProof/>
                <w:webHidden/>
              </w:rPr>
              <w:instrText xml:space="preserve"> PAGEREF _Toc391556328 \h </w:instrText>
            </w:r>
            <w:r>
              <w:rPr>
                <w:noProof/>
                <w:webHidden/>
              </w:rPr>
            </w:r>
            <w:r>
              <w:rPr>
                <w:noProof/>
                <w:webHidden/>
              </w:rPr>
              <w:fldChar w:fldCharType="separate"/>
            </w:r>
            <w:r w:rsidR="00206246">
              <w:rPr>
                <w:noProof/>
                <w:webHidden/>
              </w:rPr>
              <w:t>51</w:t>
            </w:r>
            <w:r>
              <w:rPr>
                <w:noProof/>
                <w:webHidden/>
              </w:rPr>
              <w:fldChar w:fldCharType="end"/>
            </w:r>
          </w:hyperlink>
        </w:p>
        <w:p w:rsidR="00EF128A" w:rsidRPr="0074017C" w:rsidRDefault="000A3BB1" w:rsidP="00EF128A">
          <w:pPr>
            <w:spacing w:after="0" w:line="240" w:lineRule="auto"/>
          </w:pPr>
          <w:r w:rsidRPr="0074017C">
            <w:fldChar w:fldCharType="end"/>
          </w:r>
        </w:p>
      </w:sdtContent>
    </w:sdt>
    <w:p w:rsidR="00EF128A" w:rsidRPr="0074017C" w:rsidRDefault="00EF128A">
      <w:pPr>
        <w:rPr>
          <w:rFonts w:asciiTheme="majorHAnsi" w:eastAsiaTheme="majorEastAsia" w:hAnsiTheme="majorHAnsi" w:cstheme="majorBidi"/>
          <w:b/>
          <w:bCs/>
          <w:color w:val="365F91" w:themeColor="accent1" w:themeShade="BF"/>
          <w:sz w:val="28"/>
          <w:szCs w:val="28"/>
        </w:rPr>
      </w:pPr>
      <w:r w:rsidRPr="0074017C">
        <w:br w:type="page"/>
      </w:r>
    </w:p>
    <w:p w:rsidR="000B5086" w:rsidRPr="0074017C" w:rsidRDefault="000B5086" w:rsidP="0032043C">
      <w:pPr>
        <w:pStyle w:val="Heading1"/>
      </w:pPr>
      <w:bookmarkStart w:id="0" w:name="_Toc391556298"/>
      <w:r w:rsidRPr="0074017C">
        <w:lastRenderedPageBreak/>
        <w:t>Abbreviations</w:t>
      </w:r>
      <w:bookmarkEnd w:id="0"/>
    </w:p>
    <w:p w:rsidR="00455EF3" w:rsidRPr="0074017C" w:rsidRDefault="00455EF3"/>
    <w:p w:rsidR="007970BF" w:rsidRPr="0074017C" w:rsidRDefault="007970BF" w:rsidP="007970BF">
      <w:pPr>
        <w:rPr>
          <w:rFonts w:cstheme="minorHAnsi"/>
        </w:rPr>
      </w:pPr>
      <w:r w:rsidRPr="0074017C">
        <w:rPr>
          <w:rFonts w:cstheme="minorHAnsi"/>
        </w:rPr>
        <w:t>ATC</w:t>
      </w:r>
      <w:r w:rsidRPr="0074017C">
        <w:rPr>
          <w:rFonts w:cstheme="minorHAnsi"/>
        </w:rPr>
        <w:tab/>
      </w:r>
      <w:r w:rsidRPr="0074017C">
        <w:rPr>
          <w:rFonts w:cstheme="minorHAnsi"/>
        </w:rPr>
        <w:tab/>
        <w:t xml:space="preserve">Anatomic Therapeutic Chemical </w:t>
      </w:r>
    </w:p>
    <w:p w:rsidR="00DF58CE" w:rsidRPr="0074017C" w:rsidRDefault="00DF58CE" w:rsidP="00DF58CE">
      <w:pPr>
        <w:rPr>
          <w:rFonts w:cstheme="minorHAnsi"/>
          <w:b/>
          <w:bCs/>
        </w:rPr>
      </w:pPr>
      <w:r w:rsidRPr="0074017C">
        <w:rPr>
          <w:rFonts w:cstheme="minorHAnsi"/>
        </w:rPr>
        <w:t>ARB</w:t>
      </w:r>
      <w:r w:rsidRPr="0074017C">
        <w:rPr>
          <w:rFonts w:cstheme="minorHAnsi"/>
        </w:rPr>
        <w:tab/>
      </w:r>
      <w:r w:rsidRPr="0074017C">
        <w:rPr>
          <w:rFonts w:cstheme="minorHAnsi"/>
        </w:rPr>
        <w:tab/>
      </w:r>
      <w:r w:rsidRPr="0074017C">
        <w:rPr>
          <w:rFonts w:cstheme="minorHAnsi"/>
          <w:bCs/>
        </w:rPr>
        <w:t>Angiotensin II Receptor Blockers</w:t>
      </w:r>
    </w:p>
    <w:p w:rsidR="007970BF" w:rsidRPr="0074017C" w:rsidRDefault="007970BF" w:rsidP="007970BF">
      <w:pPr>
        <w:rPr>
          <w:rFonts w:cstheme="minorHAnsi"/>
        </w:rPr>
      </w:pPr>
      <w:r w:rsidRPr="0074017C">
        <w:rPr>
          <w:rFonts w:cstheme="minorHAnsi"/>
        </w:rPr>
        <w:t>BIA</w:t>
      </w:r>
      <w:r w:rsidRPr="0074017C">
        <w:rPr>
          <w:rFonts w:cstheme="minorHAnsi"/>
        </w:rPr>
        <w:tab/>
      </w:r>
      <w:r w:rsidRPr="0074017C">
        <w:rPr>
          <w:rFonts w:cstheme="minorHAnsi"/>
        </w:rPr>
        <w:tab/>
        <w:t>Budget impact analysis</w:t>
      </w:r>
    </w:p>
    <w:p w:rsidR="007970BF" w:rsidRPr="0074017C" w:rsidRDefault="007970BF" w:rsidP="007970BF">
      <w:pPr>
        <w:rPr>
          <w:rFonts w:cstheme="minorHAnsi"/>
        </w:rPr>
      </w:pPr>
      <w:r w:rsidRPr="0074017C">
        <w:rPr>
          <w:rFonts w:cstheme="minorHAnsi"/>
        </w:rPr>
        <w:t>CEA</w:t>
      </w:r>
      <w:r w:rsidRPr="0074017C">
        <w:rPr>
          <w:rFonts w:cstheme="minorHAnsi"/>
        </w:rPr>
        <w:tab/>
      </w:r>
      <w:r w:rsidRPr="0074017C">
        <w:rPr>
          <w:rFonts w:cstheme="minorHAnsi"/>
        </w:rPr>
        <w:tab/>
        <w:t xml:space="preserve">Cost-effectiveness analysis </w:t>
      </w:r>
    </w:p>
    <w:p w:rsidR="007970BF" w:rsidRPr="0074017C" w:rsidRDefault="007970BF" w:rsidP="007970BF">
      <w:pPr>
        <w:rPr>
          <w:rFonts w:cstheme="minorHAnsi"/>
        </w:rPr>
      </w:pPr>
      <w:r w:rsidRPr="0074017C">
        <w:rPr>
          <w:rFonts w:cstheme="minorHAnsi"/>
        </w:rPr>
        <w:t>CEE</w:t>
      </w:r>
      <w:r w:rsidRPr="0074017C">
        <w:rPr>
          <w:rFonts w:cstheme="minorHAnsi"/>
        </w:rPr>
        <w:tab/>
      </w:r>
      <w:r w:rsidRPr="0074017C">
        <w:rPr>
          <w:rFonts w:cstheme="minorHAnsi"/>
        </w:rPr>
        <w:tab/>
        <w:t xml:space="preserve">Central and Eastern Europe </w:t>
      </w:r>
    </w:p>
    <w:p w:rsidR="007970BF" w:rsidRPr="0074017C" w:rsidRDefault="007970BF" w:rsidP="007970BF">
      <w:pPr>
        <w:rPr>
          <w:rFonts w:cstheme="minorHAnsi"/>
        </w:rPr>
      </w:pPr>
      <w:r w:rsidRPr="0074017C">
        <w:rPr>
          <w:rFonts w:cstheme="minorHAnsi"/>
        </w:rPr>
        <w:t>CIF</w:t>
      </w:r>
      <w:r w:rsidRPr="0074017C">
        <w:rPr>
          <w:rFonts w:cstheme="minorHAnsi"/>
        </w:rPr>
        <w:tab/>
      </w:r>
      <w:r w:rsidRPr="0074017C">
        <w:rPr>
          <w:rFonts w:cstheme="minorHAnsi"/>
        </w:rPr>
        <w:tab/>
        <w:t>Cost, Insurance and Freight</w:t>
      </w:r>
    </w:p>
    <w:p w:rsidR="007970BF" w:rsidRPr="0074017C" w:rsidRDefault="007970BF" w:rsidP="007970BF">
      <w:pPr>
        <w:rPr>
          <w:rFonts w:cstheme="minorHAnsi"/>
        </w:rPr>
      </w:pPr>
      <w:r w:rsidRPr="0074017C">
        <w:rPr>
          <w:rFonts w:cstheme="minorHAnsi"/>
        </w:rPr>
        <w:t>CMA</w:t>
      </w:r>
      <w:r w:rsidRPr="0074017C">
        <w:rPr>
          <w:rFonts w:cstheme="minorHAnsi"/>
        </w:rPr>
        <w:tab/>
      </w:r>
      <w:r w:rsidRPr="0074017C">
        <w:rPr>
          <w:rFonts w:cstheme="minorHAnsi"/>
        </w:rPr>
        <w:tab/>
        <w:t xml:space="preserve">Cost-minimization analysis </w:t>
      </w:r>
    </w:p>
    <w:p w:rsidR="007970BF" w:rsidRPr="0074017C" w:rsidRDefault="007970BF" w:rsidP="007970BF">
      <w:pPr>
        <w:rPr>
          <w:rFonts w:cstheme="minorHAnsi"/>
        </w:rPr>
      </w:pPr>
      <w:r w:rsidRPr="0074017C">
        <w:rPr>
          <w:rFonts w:cstheme="minorHAnsi"/>
        </w:rPr>
        <w:t>CUA</w:t>
      </w:r>
      <w:r w:rsidRPr="0074017C">
        <w:rPr>
          <w:rFonts w:cstheme="minorHAnsi"/>
        </w:rPr>
        <w:tab/>
      </w:r>
      <w:r w:rsidRPr="0074017C">
        <w:rPr>
          <w:rFonts w:cstheme="minorHAnsi"/>
        </w:rPr>
        <w:tab/>
        <w:t>Cost-utility analysis</w:t>
      </w:r>
    </w:p>
    <w:p w:rsidR="007970BF" w:rsidRPr="0074017C" w:rsidRDefault="007970BF" w:rsidP="007970BF">
      <w:pPr>
        <w:rPr>
          <w:rFonts w:cstheme="minorHAnsi"/>
        </w:rPr>
      </w:pPr>
      <w:r w:rsidRPr="0074017C">
        <w:rPr>
          <w:rFonts w:cstheme="minorHAnsi"/>
        </w:rPr>
        <w:t>DDD</w:t>
      </w:r>
      <w:r w:rsidRPr="0074017C">
        <w:rPr>
          <w:rFonts w:cstheme="minorHAnsi"/>
        </w:rPr>
        <w:tab/>
      </w:r>
      <w:r w:rsidRPr="0074017C">
        <w:rPr>
          <w:rFonts w:cstheme="minorHAnsi"/>
        </w:rPr>
        <w:tab/>
        <w:t>Defined Daily Doses</w:t>
      </w:r>
    </w:p>
    <w:p w:rsidR="007970BF" w:rsidRPr="0074017C" w:rsidRDefault="007970BF" w:rsidP="007970BF">
      <w:pPr>
        <w:rPr>
          <w:rFonts w:cstheme="minorHAnsi"/>
        </w:rPr>
      </w:pPr>
      <w:r w:rsidRPr="0074017C">
        <w:rPr>
          <w:rFonts w:cstheme="minorHAnsi"/>
        </w:rPr>
        <w:t>ERP</w:t>
      </w:r>
      <w:r w:rsidRPr="0074017C">
        <w:rPr>
          <w:rFonts w:cstheme="minorHAnsi"/>
        </w:rPr>
        <w:tab/>
      </w:r>
      <w:r w:rsidRPr="0074017C">
        <w:rPr>
          <w:rFonts w:cstheme="minorHAnsi"/>
        </w:rPr>
        <w:tab/>
        <w:t xml:space="preserve">External Reference Pricing </w:t>
      </w:r>
    </w:p>
    <w:p w:rsidR="007970BF" w:rsidRPr="0074017C" w:rsidRDefault="007970BF" w:rsidP="007970BF">
      <w:pPr>
        <w:rPr>
          <w:rFonts w:cstheme="minorHAnsi"/>
        </w:rPr>
      </w:pPr>
      <w:r w:rsidRPr="0074017C">
        <w:rPr>
          <w:rFonts w:cstheme="minorHAnsi"/>
        </w:rPr>
        <w:t>GDP</w:t>
      </w:r>
      <w:r w:rsidRPr="0074017C">
        <w:rPr>
          <w:rFonts w:cstheme="minorHAnsi"/>
        </w:rPr>
        <w:tab/>
      </w:r>
      <w:r w:rsidRPr="0074017C">
        <w:rPr>
          <w:rFonts w:cstheme="minorHAnsi"/>
        </w:rPr>
        <w:tab/>
        <w:t>Gross Domestic Product</w:t>
      </w:r>
    </w:p>
    <w:p w:rsidR="007970BF" w:rsidRPr="0074017C" w:rsidRDefault="007970BF" w:rsidP="007970BF">
      <w:pPr>
        <w:rPr>
          <w:rFonts w:cstheme="minorHAnsi"/>
        </w:rPr>
      </w:pPr>
      <w:r w:rsidRPr="0074017C">
        <w:rPr>
          <w:rFonts w:cstheme="minorHAnsi"/>
        </w:rPr>
        <w:t>GP</w:t>
      </w:r>
      <w:r w:rsidRPr="0074017C">
        <w:rPr>
          <w:rFonts w:cstheme="minorHAnsi"/>
        </w:rPr>
        <w:tab/>
      </w:r>
      <w:r w:rsidRPr="0074017C">
        <w:rPr>
          <w:rFonts w:cstheme="minorHAnsi"/>
        </w:rPr>
        <w:tab/>
        <w:t>General Practitioner</w:t>
      </w:r>
    </w:p>
    <w:p w:rsidR="007970BF" w:rsidRPr="0074017C" w:rsidRDefault="007970BF" w:rsidP="007970BF">
      <w:pPr>
        <w:rPr>
          <w:rFonts w:cstheme="minorHAnsi"/>
        </w:rPr>
      </w:pPr>
      <w:r w:rsidRPr="0074017C">
        <w:rPr>
          <w:rFonts w:cstheme="minorHAnsi"/>
        </w:rPr>
        <w:t>HIF</w:t>
      </w:r>
      <w:r w:rsidRPr="0074017C">
        <w:rPr>
          <w:rFonts w:cstheme="minorHAnsi"/>
        </w:rPr>
        <w:tab/>
      </w:r>
      <w:r w:rsidRPr="0074017C">
        <w:rPr>
          <w:rFonts w:cstheme="minorHAnsi"/>
        </w:rPr>
        <w:tab/>
        <w:t>Health Insurance Fund</w:t>
      </w:r>
    </w:p>
    <w:p w:rsidR="007970BF" w:rsidRPr="0074017C" w:rsidRDefault="007970BF" w:rsidP="007970BF">
      <w:pPr>
        <w:rPr>
          <w:rFonts w:cstheme="minorHAnsi"/>
        </w:rPr>
      </w:pPr>
      <w:r w:rsidRPr="0074017C">
        <w:rPr>
          <w:rFonts w:cstheme="minorHAnsi"/>
        </w:rPr>
        <w:t xml:space="preserve">INN </w:t>
      </w:r>
      <w:r w:rsidRPr="0074017C">
        <w:rPr>
          <w:rFonts w:cstheme="minorHAnsi"/>
        </w:rPr>
        <w:tab/>
      </w:r>
      <w:r w:rsidRPr="0074017C">
        <w:rPr>
          <w:rFonts w:cstheme="minorHAnsi"/>
        </w:rPr>
        <w:tab/>
        <w:t>International Nonproprietary Name</w:t>
      </w:r>
    </w:p>
    <w:p w:rsidR="007970BF" w:rsidRPr="0074017C" w:rsidRDefault="007970BF" w:rsidP="007970BF">
      <w:pPr>
        <w:rPr>
          <w:rFonts w:cstheme="minorHAnsi"/>
        </w:rPr>
      </w:pPr>
      <w:r w:rsidRPr="0074017C">
        <w:rPr>
          <w:rFonts w:cstheme="minorHAnsi"/>
        </w:rPr>
        <w:t>MoH</w:t>
      </w:r>
      <w:r w:rsidRPr="0074017C">
        <w:rPr>
          <w:rFonts w:cstheme="minorHAnsi"/>
        </w:rPr>
        <w:tab/>
      </w:r>
      <w:r w:rsidRPr="0074017C">
        <w:rPr>
          <w:rFonts w:cstheme="minorHAnsi"/>
        </w:rPr>
        <w:tab/>
        <w:t xml:space="preserve">Ministry of Health </w:t>
      </w:r>
    </w:p>
    <w:p w:rsidR="007970BF" w:rsidRPr="0074017C" w:rsidRDefault="007970BF" w:rsidP="007970BF">
      <w:pPr>
        <w:rPr>
          <w:rFonts w:cstheme="minorHAnsi"/>
        </w:rPr>
      </w:pPr>
      <w:r w:rsidRPr="0074017C">
        <w:rPr>
          <w:rFonts w:cstheme="minorHAnsi"/>
        </w:rPr>
        <w:t>NCDs</w:t>
      </w:r>
      <w:r w:rsidRPr="0074017C">
        <w:rPr>
          <w:rFonts w:cstheme="minorHAnsi"/>
        </w:rPr>
        <w:tab/>
      </w:r>
      <w:r w:rsidRPr="0074017C">
        <w:rPr>
          <w:rFonts w:cstheme="minorHAnsi"/>
        </w:rPr>
        <w:tab/>
        <w:t xml:space="preserve">Non-communicable diseases </w:t>
      </w:r>
    </w:p>
    <w:p w:rsidR="007970BF" w:rsidRPr="0074017C" w:rsidRDefault="007970BF" w:rsidP="007970BF">
      <w:pPr>
        <w:rPr>
          <w:rFonts w:cstheme="minorHAnsi"/>
        </w:rPr>
      </w:pPr>
      <w:r w:rsidRPr="0074017C">
        <w:rPr>
          <w:rFonts w:cstheme="minorHAnsi"/>
        </w:rPr>
        <w:t>NCDC</w:t>
      </w:r>
      <w:r w:rsidRPr="0074017C">
        <w:rPr>
          <w:rFonts w:cstheme="minorHAnsi"/>
        </w:rPr>
        <w:tab/>
      </w:r>
      <w:r w:rsidRPr="0074017C">
        <w:rPr>
          <w:rFonts w:cstheme="minorHAnsi"/>
        </w:rPr>
        <w:tab/>
        <w:t>National Center for Drug Control</w:t>
      </w:r>
    </w:p>
    <w:p w:rsidR="007970BF" w:rsidRPr="0074017C" w:rsidRDefault="007970BF" w:rsidP="007970BF">
      <w:pPr>
        <w:rPr>
          <w:rFonts w:cstheme="minorHAnsi"/>
        </w:rPr>
      </w:pPr>
      <w:r w:rsidRPr="0074017C">
        <w:rPr>
          <w:rFonts w:cstheme="minorHAnsi"/>
        </w:rPr>
        <w:t xml:space="preserve">NICE </w:t>
      </w:r>
      <w:r w:rsidRPr="0074017C">
        <w:rPr>
          <w:rFonts w:cstheme="minorHAnsi"/>
        </w:rPr>
        <w:tab/>
      </w:r>
      <w:r w:rsidRPr="0074017C">
        <w:rPr>
          <w:rFonts w:cstheme="minorHAnsi"/>
        </w:rPr>
        <w:tab/>
        <w:t xml:space="preserve">UK National Institute for Clinical Excellence </w:t>
      </w:r>
    </w:p>
    <w:p w:rsidR="007970BF" w:rsidRPr="0074017C" w:rsidRDefault="007970BF" w:rsidP="007970BF">
      <w:pPr>
        <w:rPr>
          <w:rFonts w:cstheme="minorHAnsi"/>
        </w:rPr>
      </w:pPr>
      <w:r w:rsidRPr="0074017C">
        <w:rPr>
          <w:rFonts w:cstheme="minorHAnsi"/>
        </w:rPr>
        <w:t>OOP</w:t>
      </w:r>
      <w:r w:rsidRPr="0074017C">
        <w:rPr>
          <w:rFonts w:cstheme="minorHAnsi"/>
        </w:rPr>
        <w:tab/>
      </w:r>
      <w:r w:rsidRPr="0074017C">
        <w:rPr>
          <w:rFonts w:cstheme="minorHAnsi"/>
        </w:rPr>
        <w:tab/>
        <w:t>Out of Pocket</w:t>
      </w:r>
    </w:p>
    <w:p w:rsidR="007970BF" w:rsidRPr="0074017C" w:rsidRDefault="007970BF" w:rsidP="007970BF">
      <w:pPr>
        <w:rPr>
          <w:rFonts w:cstheme="minorHAnsi"/>
        </w:rPr>
      </w:pPr>
      <w:r w:rsidRPr="0074017C">
        <w:rPr>
          <w:rFonts w:cstheme="minorHAnsi"/>
        </w:rPr>
        <w:t>OTC</w:t>
      </w:r>
      <w:r w:rsidRPr="0074017C">
        <w:rPr>
          <w:rFonts w:cstheme="minorHAnsi"/>
        </w:rPr>
        <w:tab/>
      </w:r>
      <w:r w:rsidRPr="0074017C">
        <w:rPr>
          <w:rFonts w:cstheme="minorHAnsi"/>
        </w:rPr>
        <w:tab/>
        <w:t>Over the counter</w:t>
      </w:r>
    </w:p>
    <w:p w:rsidR="007970BF" w:rsidRPr="0074017C" w:rsidRDefault="007970BF" w:rsidP="007970BF">
      <w:pPr>
        <w:rPr>
          <w:rFonts w:cstheme="minorHAnsi"/>
        </w:rPr>
      </w:pPr>
      <w:r w:rsidRPr="0074017C">
        <w:rPr>
          <w:rFonts w:cstheme="minorHAnsi"/>
        </w:rPr>
        <w:t>QSUT</w:t>
      </w:r>
      <w:r w:rsidRPr="0074017C">
        <w:rPr>
          <w:rFonts w:cstheme="minorHAnsi"/>
        </w:rPr>
        <w:tab/>
      </w:r>
      <w:r w:rsidRPr="0074017C">
        <w:rPr>
          <w:rFonts w:cstheme="minorHAnsi"/>
        </w:rPr>
        <w:tab/>
        <w:t>QendraSpitaloreUniverstitare “Nene Teresa”</w:t>
      </w:r>
      <w:r w:rsidR="0074017C" w:rsidRPr="0074017C">
        <w:rPr>
          <w:rFonts w:cstheme="minorHAnsi"/>
        </w:rPr>
        <w:t xml:space="preserve"> – University Hospital Mother Teresa</w:t>
      </w:r>
    </w:p>
    <w:p w:rsidR="007970BF" w:rsidRPr="0074017C" w:rsidRDefault="007970BF" w:rsidP="007970BF">
      <w:pPr>
        <w:rPr>
          <w:rFonts w:cstheme="minorHAnsi"/>
        </w:rPr>
      </w:pPr>
      <w:r w:rsidRPr="0074017C">
        <w:rPr>
          <w:rFonts w:cstheme="minorHAnsi"/>
        </w:rPr>
        <w:t xml:space="preserve">SMC </w:t>
      </w:r>
      <w:r w:rsidRPr="0074017C">
        <w:rPr>
          <w:rFonts w:cstheme="minorHAnsi"/>
        </w:rPr>
        <w:tab/>
      </w:r>
      <w:r w:rsidRPr="0074017C">
        <w:rPr>
          <w:rFonts w:cstheme="minorHAnsi"/>
        </w:rPr>
        <w:tab/>
        <w:t xml:space="preserve">Scottish Medicines Consortium </w:t>
      </w:r>
    </w:p>
    <w:p w:rsidR="007970BF" w:rsidRPr="0074017C" w:rsidRDefault="007970BF" w:rsidP="007970BF">
      <w:pPr>
        <w:rPr>
          <w:rFonts w:cstheme="minorHAnsi"/>
        </w:rPr>
      </w:pPr>
      <w:r w:rsidRPr="0074017C">
        <w:rPr>
          <w:rFonts w:cstheme="minorHAnsi"/>
        </w:rPr>
        <w:t>QALY</w:t>
      </w:r>
      <w:r w:rsidRPr="0074017C">
        <w:rPr>
          <w:rFonts w:cstheme="minorHAnsi"/>
        </w:rPr>
        <w:tab/>
      </w:r>
      <w:r w:rsidRPr="0074017C">
        <w:rPr>
          <w:rFonts w:cstheme="minorHAnsi"/>
        </w:rPr>
        <w:tab/>
        <w:t>Quality adjusted life years</w:t>
      </w:r>
    </w:p>
    <w:p w:rsidR="000B5086" w:rsidRPr="0074017C" w:rsidRDefault="007970BF">
      <w:pPr>
        <w:rPr>
          <w:rFonts w:asciiTheme="majorHAnsi" w:eastAsiaTheme="majorEastAsia" w:hAnsiTheme="majorHAnsi" w:cstheme="majorBidi"/>
          <w:b/>
          <w:bCs/>
          <w:color w:val="365F91" w:themeColor="accent1" w:themeShade="BF"/>
          <w:sz w:val="28"/>
          <w:szCs w:val="28"/>
        </w:rPr>
      </w:pPr>
      <w:r w:rsidRPr="0074017C">
        <w:rPr>
          <w:rFonts w:cstheme="minorHAnsi"/>
        </w:rPr>
        <w:t>HTA</w:t>
      </w:r>
      <w:r w:rsidRPr="0074017C">
        <w:rPr>
          <w:rFonts w:cstheme="minorHAnsi"/>
        </w:rPr>
        <w:tab/>
      </w:r>
      <w:r w:rsidRPr="0074017C">
        <w:rPr>
          <w:rFonts w:cstheme="minorHAnsi"/>
        </w:rPr>
        <w:tab/>
        <w:t>Health Technology Assessment</w:t>
      </w:r>
      <w:r w:rsidR="000B5086" w:rsidRPr="0074017C">
        <w:br w:type="page"/>
      </w:r>
    </w:p>
    <w:p w:rsidR="00CD0699" w:rsidRPr="0074017C" w:rsidRDefault="0032043C" w:rsidP="0032043C">
      <w:pPr>
        <w:pStyle w:val="Heading1"/>
      </w:pPr>
      <w:bookmarkStart w:id="1" w:name="_Toc391556299"/>
      <w:r w:rsidRPr="0074017C">
        <w:lastRenderedPageBreak/>
        <w:t>Executive summary</w:t>
      </w:r>
      <w:bookmarkEnd w:id="1"/>
    </w:p>
    <w:p w:rsidR="0032043C" w:rsidRPr="0074017C" w:rsidRDefault="0032043C" w:rsidP="0032043C">
      <w:pPr>
        <w:spacing w:after="0" w:line="240" w:lineRule="auto"/>
      </w:pPr>
    </w:p>
    <w:p w:rsidR="004E5E01" w:rsidRPr="0074017C" w:rsidRDefault="004E5E01" w:rsidP="004E5E01">
      <w:pPr>
        <w:spacing w:after="0"/>
        <w:jc w:val="both"/>
        <w:rPr>
          <w:rFonts w:ascii="Calibri" w:hAnsi="Calibri" w:cs="Calibri"/>
        </w:rPr>
      </w:pPr>
      <w:r w:rsidRPr="0074017C">
        <w:rPr>
          <w:rFonts w:ascii="Calibri" w:hAnsi="Calibri" w:cs="Calibri"/>
        </w:rPr>
        <w:t xml:space="preserve">The </w:t>
      </w:r>
      <w:r w:rsidR="00C37783" w:rsidRPr="0074017C">
        <w:rPr>
          <w:rFonts w:ascii="Calibri" w:hAnsi="Calibri" w:cs="Calibri"/>
        </w:rPr>
        <w:t xml:space="preserve">Albanian </w:t>
      </w:r>
      <w:r w:rsidRPr="0074017C">
        <w:rPr>
          <w:rFonts w:ascii="Calibri" w:hAnsi="Calibri" w:cs="Calibri"/>
        </w:rPr>
        <w:t>Ministry of Health is embarking on an ambitious reform of the pharmaceutical sector aiming to rationalize expenditure, improve reimbursement decision making and increase access to medicines. This report provides an overview of the current Albanian pharmaceutical market; analyzes pricing, reimbursement, prescribing and dispensing regulation; and aims to recommend a set of measures to support the efforts of the Ministry of Health. The report is based on available data collected from the MoH, HIF and NCDC and interviews conducted during two missions to Albania in April and June 2014.</w:t>
      </w:r>
    </w:p>
    <w:p w:rsidR="004E5E01" w:rsidRPr="0074017C" w:rsidRDefault="004E5E01" w:rsidP="004E5E01">
      <w:pPr>
        <w:spacing w:after="0"/>
        <w:jc w:val="both"/>
        <w:rPr>
          <w:rFonts w:ascii="Calibri" w:hAnsi="Calibri" w:cs="Calibri"/>
        </w:rPr>
      </w:pPr>
    </w:p>
    <w:p w:rsidR="00732CCE" w:rsidRPr="0074017C" w:rsidRDefault="004E5E01" w:rsidP="00732CCE">
      <w:pPr>
        <w:spacing w:after="0"/>
        <w:jc w:val="both"/>
        <w:rPr>
          <w:rFonts w:ascii="Calibri" w:hAnsi="Calibri" w:cs="Calibri"/>
        </w:rPr>
      </w:pPr>
      <w:r w:rsidRPr="00157E15">
        <w:rPr>
          <w:rFonts w:ascii="Calibri" w:hAnsi="Calibri" w:cs="Calibri"/>
          <w:b/>
        </w:rPr>
        <w:t>In 2013, Albanian public spending on health amounted to 2.6 percent of GDP, the lowest among countries in the region. Out of pocket expenditures accounted for as much as 55 percent of total expenditures on health</w:t>
      </w:r>
      <w:r w:rsidR="00163F89" w:rsidRPr="00157E15">
        <w:rPr>
          <w:rFonts w:ascii="Calibri" w:hAnsi="Calibri" w:cs="Calibri"/>
          <w:b/>
        </w:rPr>
        <w:t xml:space="preserve"> (the highest among countries in the region) </w:t>
      </w:r>
      <w:r w:rsidRPr="00157E15">
        <w:rPr>
          <w:rFonts w:ascii="Calibri" w:hAnsi="Calibri" w:cs="Calibri"/>
          <w:b/>
        </w:rPr>
        <w:t xml:space="preserve">of which 45% was spent on pharmaceuticals. </w:t>
      </w:r>
      <w:r w:rsidR="00163F89" w:rsidRPr="00157E15">
        <w:rPr>
          <w:rFonts w:ascii="Calibri" w:hAnsi="Calibri" w:cs="Calibri"/>
          <w:b/>
        </w:rPr>
        <w:t>Nevertheless, t</w:t>
      </w:r>
      <w:r w:rsidRPr="00157E15">
        <w:rPr>
          <w:rFonts w:ascii="Calibri" w:hAnsi="Calibri" w:cs="Calibri"/>
          <w:b/>
        </w:rPr>
        <w:t xml:space="preserve">he HIF’s </w:t>
      </w:r>
      <w:r w:rsidR="00163F89" w:rsidRPr="00157E15">
        <w:rPr>
          <w:rFonts w:ascii="Calibri" w:hAnsi="Calibri" w:cs="Calibri"/>
          <w:b/>
        </w:rPr>
        <w:t>expenditure on</w:t>
      </w:r>
      <w:r w:rsidRPr="00157E15">
        <w:rPr>
          <w:rFonts w:ascii="Calibri" w:hAnsi="Calibri" w:cs="Calibri"/>
          <w:b/>
        </w:rPr>
        <w:t xml:space="preserve"> reimbursed medicines has substant</w:t>
      </w:r>
      <w:r w:rsidR="00163F89" w:rsidRPr="00157E15">
        <w:rPr>
          <w:rFonts w:ascii="Calibri" w:hAnsi="Calibri" w:cs="Calibri"/>
          <w:b/>
        </w:rPr>
        <w:t>ially increased from 2008-2013.</w:t>
      </w:r>
      <w:r w:rsidR="00732CCE" w:rsidRPr="00157E15">
        <w:rPr>
          <w:rFonts w:ascii="Calibri" w:hAnsi="Calibri" w:cs="Calibri"/>
          <w:b/>
        </w:rPr>
        <w:t xml:space="preserve"> Low spending on health care (both in terms of total and public expenditure), high proportion of out of pocket spending and a remarkably low percentage of health insured in the population point to the fact that Albania has historically not considered investing in health care as a priority. It is reasonable to expect that a substantial proportion of ill Albanians are currently not properly </w:t>
      </w:r>
      <w:r w:rsidR="00732CCE" w:rsidRPr="0074017C">
        <w:rPr>
          <w:rFonts w:ascii="Calibri" w:hAnsi="Calibri" w:cs="Calibri"/>
        </w:rPr>
        <w:t>diagnosed and receiving rationally prescribed therapy. Apart from economic hardship, quality of care issues may further influence compliance (and volume of dispensed medicines) in therapy for diagnosed patients. This, combined with the expected rise in the incidence and prevalence of NCDs and other issues may generate substantial potential for escalating expenditure on medicines in the coming years.</w:t>
      </w:r>
    </w:p>
    <w:p w:rsidR="00732CCE" w:rsidRPr="0074017C" w:rsidRDefault="00732CCE" w:rsidP="00732CCE">
      <w:pPr>
        <w:spacing w:after="0"/>
        <w:jc w:val="both"/>
        <w:rPr>
          <w:rFonts w:ascii="Calibri" w:hAnsi="Calibri" w:cs="Calibri"/>
        </w:rPr>
      </w:pPr>
    </w:p>
    <w:p w:rsidR="00050E47" w:rsidRPr="00157E15" w:rsidRDefault="00732CCE" w:rsidP="00050E47">
      <w:pPr>
        <w:spacing w:after="0"/>
        <w:jc w:val="both"/>
        <w:rPr>
          <w:rFonts w:ascii="Calibri" w:hAnsi="Calibri" w:cs="Calibri"/>
          <w:b/>
        </w:rPr>
      </w:pPr>
      <w:r w:rsidRPr="00157E15">
        <w:rPr>
          <w:rFonts w:ascii="Calibri" w:hAnsi="Calibri" w:cs="Calibri"/>
          <w:b/>
        </w:rPr>
        <w:t xml:space="preserve">Albania imports most of its drugs, however there are a few domestic manufacturers that produce a number of essential drugs . The number of wholesaler seems fairly high having in mind both the size of the population and the market, when compared to most western EU countries. Pharmacies generally operate as single entities. </w:t>
      </w:r>
      <w:r w:rsidR="00050E47" w:rsidRPr="00157E15">
        <w:rPr>
          <w:rFonts w:ascii="Calibri" w:hAnsi="Calibri" w:cs="Calibri"/>
          <w:b/>
        </w:rPr>
        <w:t xml:space="preserve">Albania operates a flat markup schedule, with different markups for several classes of medicines. Wholesale and retail markups were decreased in April 2014. Regardless, wholesale markups remain high compared to EU 27. The extent to which the markup schedule is actually implemented requires further looking into and stricter control. VAT was until April 2014 charged on all medicines (both reimbursed and non reimbursed), but this is no longer the case. Retail markups do not appear to be excessive compared to EU 27.  </w:t>
      </w:r>
    </w:p>
    <w:p w:rsidR="00732CCE" w:rsidRPr="00157E15" w:rsidRDefault="00732CCE" w:rsidP="00732CCE">
      <w:pPr>
        <w:spacing w:after="0"/>
        <w:jc w:val="both"/>
        <w:rPr>
          <w:rFonts w:ascii="Calibri" w:hAnsi="Calibri" w:cs="Calibri"/>
          <w:b/>
        </w:rPr>
      </w:pPr>
    </w:p>
    <w:p w:rsidR="00732CCE" w:rsidRPr="0074017C" w:rsidRDefault="00732CCE" w:rsidP="00732CCE">
      <w:pPr>
        <w:spacing w:after="0"/>
        <w:jc w:val="both"/>
        <w:rPr>
          <w:rFonts w:ascii="Calibri" w:hAnsi="Calibri" w:cs="Calibri"/>
        </w:rPr>
      </w:pPr>
      <w:r w:rsidRPr="0074017C">
        <w:rPr>
          <w:rFonts w:ascii="Calibri" w:hAnsi="Calibri" w:cs="Calibri"/>
        </w:rPr>
        <w:t xml:space="preserve">The MoH is in charge of calculating maximum prices for all prescription and expensive outpatient medicines, both reimbursed and non reimbursed(including OTC). International prices comparisons are undertaken by brand names, not INN, even for generic medicines. Countries taken into consideration are FYR Macedonia, Greece and Italy, the lowest published price being set as the Albanian price. </w:t>
      </w:r>
      <w:r w:rsidR="00C7049E" w:rsidRPr="0074017C">
        <w:rPr>
          <w:rFonts w:ascii="Calibri" w:hAnsi="Calibri" w:cs="Calibri"/>
        </w:rPr>
        <w:t xml:space="preserve">Price comparisons to other Western Balkan countries reveal that Albania, particularly if its economic context is taken into consideration, has plenty potential to reduce prices of medicines.  </w:t>
      </w:r>
      <w:r w:rsidRPr="0074017C">
        <w:rPr>
          <w:rFonts w:ascii="Calibri" w:hAnsi="Calibri" w:cs="Calibri"/>
        </w:rPr>
        <w:t xml:space="preserve">Medicines used in hospitals (inpatient) are procured by public tendering, however maximum prices are also determined by international price comparisons – following the same rules as for prescription medicines.  </w:t>
      </w:r>
      <w:r w:rsidR="00392FB6" w:rsidRPr="0074017C">
        <w:rPr>
          <w:rFonts w:ascii="Calibri" w:hAnsi="Calibri" w:cs="Calibri"/>
        </w:rPr>
        <w:t xml:space="preserve">The process of </w:t>
      </w:r>
      <w:r w:rsidR="00392FB6" w:rsidRPr="0074017C">
        <w:rPr>
          <w:rFonts w:ascii="Calibri" w:hAnsi="Calibri" w:cs="Calibri"/>
        </w:rPr>
        <w:lastRenderedPageBreak/>
        <w:t>introducing new medicines to the lists of reimbursed medicines is not well defined. Managed entry agreements are not used to limit expenditure on expensive medicines.</w:t>
      </w:r>
    </w:p>
    <w:p w:rsidR="00050E47" w:rsidRPr="0074017C" w:rsidRDefault="00050E47" w:rsidP="00732CCE">
      <w:pPr>
        <w:spacing w:after="0"/>
        <w:jc w:val="both"/>
        <w:rPr>
          <w:rFonts w:ascii="Calibri" w:hAnsi="Calibri" w:cs="Calibri"/>
        </w:rPr>
      </w:pPr>
    </w:p>
    <w:p w:rsidR="00392FB6" w:rsidRPr="0074017C" w:rsidRDefault="00050E47" w:rsidP="00392FB6">
      <w:pPr>
        <w:spacing w:after="0"/>
        <w:jc w:val="both"/>
        <w:rPr>
          <w:rFonts w:ascii="Calibri" w:hAnsi="Calibri" w:cs="Calibri"/>
        </w:rPr>
      </w:pPr>
      <w:r w:rsidRPr="0074017C">
        <w:rPr>
          <w:rFonts w:ascii="Calibri" w:hAnsi="Calibri" w:cs="Calibri"/>
        </w:rPr>
        <w:t xml:space="preserve">Many generic companies operate in the Albanian pharmaceutical market and have their products reimbursed by the HIF. However, the current reimbursement system has so far not been able to incentivize or force them to compete on prices.  </w:t>
      </w:r>
      <w:r w:rsidR="00392FB6" w:rsidRPr="0074017C">
        <w:rPr>
          <w:rFonts w:ascii="Calibri" w:hAnsi="Calibri" w:cs="Calibri"/>
        </w:rPr>
        <w:t xml:space="preserve">For many of the reimbursed drugs there are multiple brand names in the market, and the difference between the lowest and highest retail price can be tenfold. This leads to unnecessarily high co-payments for patients as they commonly opt (as are recommended by their doctor or the pharmacist) to purchase the more expensive brands. </w:t>
      </w:r>
    </w:p>
    <w:p w:rsidR="00C7049E" w:rsidRPr="0074017C" w:rsidRDefault="00C7049E" w:rsidP="00C7049E">
      <w:pPr>
        <w:spacing w:after="0"/>
        <w:jc w:val="both"/>
        <w:rPr>
          <w:rFonts w:ascii="Calibri" w:hAnsi="Calibri" w:cs="Calibri"/>
        </w:rPr>
      </w:pPr>
    </w:p>
    <w:p w:rsidR="00C7049E" w:rsidRPr="00157E15" w:rsidRDefault="00050E47" w:rsidP="00C7049E">
      <w:pPr>
        <w:spacing w:after="0"/>
        <w:jc w:val="both"/>
        <w:rPr>
          <w:rFonts w:ascii="Calibri" w:hAnsi="Calibri" w:cs="Calibri"/>
          <w:b/>
        </w:rPr>
      </w:pPr>
      <w:r w:rsidRPr="00157E15">
        <w:rPr>
          <w:rFonts w:ascii="Calibri" w:hAnsi="Calibri" w:cs="Calibri"/>
          <w:b/>
        </w:rPr>
        <w:t>The</w:t>
      </w:r>
      <w:r w:rsidR="00732CCE" w:rsidRPr="00157E15">
        <w:rPr>
          <w:rFonts w:ascii="Calibri" w:hAnsi="Calibri" w:cs="Calibri"/>
          <w:b/>
        </w:rPr>
        <w:t xml:space="preserve"> HIF does not engage in internal reference pricing </w:t>
      </w:r>
      <w:r w:rsidRPr="00157E15">
        <w:rPr>
          <w:rFonts w:ascii="Calibri" w:hAnsi="Calibri" w:cs="Calibri"/>
          <w:b/>
        </w:rPr>
        <w:t>(therapeutic value) of any sort.</w:t>
      </w:r>
      <w:r w:rsidR="00732CCE" w:rsidRPr="00157E15">
        <w:rPr>
          <w:rFonts w:ascii="Calibri" w:hAnsi="Calibri" w:cs="Calibri"/>
          <w:b/>
        </w:rPr>
        <w:t xml:space="preserve"> No mandatory price reduction rules exist for therapeutically similar me-too medicines. </w:t>
      </w:r>
      <w:r w:rsidRPr="00157E15">
        <w:rPr>
          <w:rFonts w:ascii="Calibri" w:hAnsi="Calibri" w:cs="Calibri"/>
          <w:b/>
        </w:rPr>
        <w:t xml:space="preserve">As no price comparisons by defined daily doses (DDD) are implemented even for the same International Nonproprietary Names (INN), substantial price differences appear in a large number of molecules if prices of different concentrations/strengths of same INNs are compared. </w:t>
      </w:r>
      <w:r w:rsidR="00C7049E" w:rsidRPr="00157E15">
        <w:rPr>
          <w:rFonts w:ascii="Calibri" w:hAnsi="Calibri" w:cs="Calibri"/>
          <w:b/>
        </w:rPr>
        <w:t xml:space="preserve">In addition, the HIF overpays a substantial proportion of combination tablets and seems to be paying substantially different prices for defined daily doses of what other countries define as essentially similar (me too) medicines. </w:t>
      </w:r>
    </w:p>
    <w:p w:rsidR="00C7049E" w:rsidRPr="0074017C" w:rsidRDefault="00C7049E" w:rsidP="00050E47">
      <w:pPr>
        <w:spacing w:after="0"/>
        <w:jc w:val="both"/>
        <w:rPr>
          <w:rFonts w:ascii="Calibri" w:hAnsi="Calibri" w:cs="Calibri"/>
        </w:rPr>
      </w:pPr>
    </w:p>
    <w:p w:rsidR="00050E47" w:rsidRPr="0074017C" w:rsidRDefault="00732CCE" w:rsidP="00732CCE">
      <w:pPr>
        <w:spacing w:after="0"/>
        <w:jc w:val="both"/>
        <w:rPr>
          <w:rFonts w:ascii="Calibri" w:hAnsi="Calibri" w:cs="Calibri"/>
        </w:rPr>
      </w:pPr>
      <w:r w:rsidRPr="0074017C">
        <w:rPr>
          <w:rFonts w:ascii="Calibri" w:hAnsi="Calibri" w:cs="Calibri"/>
        </w:rPr>
        <w:t xml:space="preserve">INN prescribing is implemented and controlled by the HIF for reimbursed medicines only. Non reimbursed medicines can be prescribed by branded name.  GPs do not attend peer groups, undergo visitations or engage in consultations with clinical pharmacologists regarding rational prescribing. The HIF issues indications/protocols for conditions that have to be met in order for GPs to prescribe medicines to individual patients. These are not listed in the formulary, but in a separate publication. The extent to which this is actually controlled remains unclear.The MoH and the HIF have as of yet not published official prescribing guidelines for expensive inpatient medicines that would take the cost effectiveness of the use of these products versus less expensive alternatives into account. </w:t>
      </w:r>
    </w:p>
    <w:p w:rsidR="00050E47" w:rsidRPr="0074017C" w:rsidRDefault="00050E47" w:rsidP="00732CCE">
      <w:pPr>
        <w:spacing w:after="0"/>
        <w:jc w:val="both"/>
        <w:rPr>
          <w:rFonts w:ascii="Calibri" w:hAnsi="Calibri" w:cs="Calibri"/>
        </w:rPr>
      </w:pPr>
    </w:p>
    <w:p w:rsidR="00050E47" w:rsidRPr="0040465B" w:rsidRDefault="00050E47" w:rsidP="00732CCE">
      <w:pPr>
        <w:spacing w:after="0"/>
        <w:jc w:val="both"/>
        <w:rPr>
          <w:rFonts w:ascii="Calibri" w:hAnsi="Calibri" w:cs="Calibri"/>
          <w:b/>
        </w:rPr>
      </w:pPr>
      <w:r w:rsidRPr="0074017C">
        <w:rPr>
          <w:rFonts w:ascii="Calibri" w:hAnsi="Calibri" w:cs="Calibri"/>
        </w:rPr>
        <w:t>T</w:t>
      </w:r>
      <w:r w:rsidRPr="0040465B">
        <w:rPr>
          <w:rFonts w:ascii="Calibri" w:hAnsi="Calibri" w:cs="Calibri"/>
          <w:b/>
        </w:rPr>
        <w:t>he list of reimbursed prescription medicines is fairly modest in most therapeutic areas, while it at the same time contains some expensive medicines not usually reimbursed in other Western Balkans countries. The cost effectiveness of the use of these medicines in Albanian financial circumstances is questionable. Contrary to the list of prescription medicines and expensive outpatient medicines, the list of hospital medicines is fairly rich in therapeutic options (including high priced medicines) – substantially richer than could be expected having in mind modest public expenditure on health. However, quantities of procured unit doses of expensive medicines are very low, far lower than could be expected if the numbers of patients treated is taken into consideration. D</w:t>
      </w:r>
      <w:r w:rsidR="00732CCE" w:rsidRPr="0040465B">
        <w:rPr>
          <w:rFonts w:ascii="Calibri" w:hAnsi="Calibri" w:cs="Calibri"/>
          <w:b/>
        </w:rPr>
        <w:t xml:space="preserve">rug shortages occur on regular basis and available medicines are rationed using no clear resource allocation methodology. Instead, some patients appear to be instructed to procure therapy on their own. </w:t>
      </w:r>
    </w:p>
    <w:p w:rsidR="00050E47" w:rsidRPr="0040465B" w:rsidRDefault="00050E47" w:rsidP="00732CCE">
      <w:pPr>
        <w:spacing w:after="0"/>
        <w:jc w:val="both"/>
        <w:rPr>
          <w:rFonts w:ascii="Calibri" w:hAnsi="Calibri" w:cs="Calibri"/>
          <w:b/>
        </w:rPr>
      </w:pPr>
    </w:p>
    <w:p w:rsidR="00732CCE" w:rsidRPr="0074017C" w:rsidRDefault="00732CCE" w:rsidP="00732CCE">
      <w:pPr>
        <w:spacing w:after="0"/>
        <w:jc w:val="both"/>
        <w:rPr>
          <w:rFonts w:ascii="Calibri" w:hAnsi="Calibri" w:cs="Calibri"/>
        </w:rPr>
      </w:pPr>
      <w:r w:rsidRPr="0074017C">
        <w:rPr>
          <w:rFonts w:ascii="Calibri" w:hAnsi="Calibri" w:cs="Calibri"/>
        </w:rPr>
        <w:t xml:space="preserve">The MoH plans to introduce Track and trace technology and ePrescriptions.This should protect the system from counterfeit medicines and should prevent fraudulent behavior when medicines are charged to the HIF for phantom patients and later resold in the private market. </w:t>
      </w:r>
    </w:p>
    <w:p w:rsidR="00050E47" w:rsidRPr="0074017C" w:rsidRDefault="00050E47" w:rsidP="00732CCE">
      <w:pPr>
        <w:spacing w:after="0"/>
        <w:jc w:val="both"/>
        <w:rPr>
          <w:rFonts w:ascii="Calibri" w:hAnsi="Calibri" w:cs="Calibri"/>
        </w:rPr>
      </w:pPr>
    </w:p>
    <w:p w:rsidR="007423A5" w:rsidRPr="0074017C" w:rsidRDefault="007423A5" w:rsidP="007423A5">
      <w:pPr>
        <w:spacing w:after="0" w:line="240" w:lineRule="auto"/>
        <w:jc w:val="both"/>
      </w:pPr>
      <w:r w:rsidRPr="0074017C">
        <w:rPr>
          <w:rFonts w:ascii="Calibri" w:hAnsi="Calibri" w:cs="Calibri"/>
        </w:rPr>
        <w:lastRenderedPageBreak/>
        <w:t xml:space="preserve">A set of </w:t>
      </w:r>
      <w:r w:rsidR="004E5E01" w:rsidRPr="0074017C">
        <w:rPr>
          <w:rFonts w:ascii="Calibri" w:hAnsi="Calibri" w:cs="Calibri"/>
        </w:rPr>
        <w:t xml:space="preserve">regulatory measures </w:t>
      </w:r>
      <w:r w:rsidRPr="0074017C">
        <w:rPr>
          <w:rFonts w:ascii="Calibri" w:hAnsi="Calibri" w:cs="Calibri"/>
        </w:rPr>
        <w:t>targeting</w:t>
      </w:r>
      <w:r w:rsidR="004E5E01" w:rsidRPr="0074017C">
        <w:rPr>
          <w:rFonts w:ascii="Calibri" w:hAnsi="Calibri" w:cs="Calibri"/>
        </w:rPr>
        <w:t xml:space="preserve"> both </w:t>
      </w:r>
      <w:r w:rsidRPr="0074017C">
        <w:rPr>
          <w:rFonts w:ascii="Calibri" w:hAnsi="Calibri" w:cs="Calibri"/>
        </w:rPr>
        <w:t xml:space="preserve">the </w:t>
      </w:r>
      <w:r w:rsidR="004E5E01" w:rsidRPr="0074017C">
        <w:rPr>
          <w:rFonts w:ascii="Calibri" w:hAnsi="Calibri" w:cs="Calibri"/>
        </w:rPr>
        <w:t>supply and demand side</w:t>
      </w:r>
      <w:r w:rsidRPr="0074017C">
        <w:rPr>
          <w:rFonts w:ascii="Calibri" w:hAnsi="Calibri" w:cs="Calibri"/>
        </w:rPr>
        <w:t xml:space="preserve">sof the market should </w:t>
      </w:r>
      <w:r w:rsidR="004E5E01" w:rsidRPr="0074017C">
        <w:rPr>
          <w:rFonts w:ascii="Calibri" w:hAnsi="Calibri" w:cs="Calibri"/>
        </w:rPr>
        <w:t xml:space="preserve">be implemented in order </w:t>
      </w:r>
      <w:r w:rsidRPr="0074017C">
        <w:t>to:</w:t>
      </w:r>
    </w:p>
    <w:p w:rsidR="007423A5" w:rsidRPr="0074017C" w:rsidRDefault="00C37783" w:rsidP="00C37783">
      <w:pPr>
        <w:tabs>
          <w:tab w:val="left" w:pos="7920"/>
        </w:tabs>
        <w:spacing w:after="0" w:line="240" w:lineRule="auto"/>
        <w:jc w:val="both"/>
      </w:pPr>
      <w:r w:rsidRPr="0074017C">
        <w:tab/>
      </w:r>
    </w:p>
    <w:p w:rsidR="007423A5" w:rsidRPr="0074017C" w:rsidRDefault="007423A5" w:rsidP="007423A5">
      <w:pPr>
        <w:pStyle w:val="ListParagraph"/>
        <w:numPr>
          <w:ilvl w:val="0"/>
          <w:numId w:val="23"/>
        </w:numPr>
        <w:spacing w:after="0" w:line="240" w:lineRule="auto"/>
        <w:jc w:val="both"/>
      </w:pPr>
      <w:r w:rsidRPr="0074017C">
        <w:t>Generate savings and ensure value-for-money for public health expenditures on medicines;</w:t>
      </w:r>
    </w:p>
    <w:p w:rsidR="007423A5" w:rsidRPr="0074017C" w:rsidRDefault="007423A5" w:rsidP="007423A5">
      <w:pPr>
        <w:pStyle w:val="ListParagraph"/>
        <w:numPr>
          <w:ilvl w:val="0"/>
          <w:numId w:val="23"/>
        </w:numPr>
        <w:spacing w:after="0" w:line="240" w:lineRule="auto"/>
        <w:jc w:val="both"/>
      </w:pPr>
      <w:r w:rsidRPr="0074017C">
        <w:t>Enable the HIF to control the growth of expenditure on medicines;</w:t>
      </w:r>
    </w:p>
    <w:p w:rsidR="007423A5" w:rsidRPr="0074017C" w:rsidRDefault="007423A5" w:rsidP="007423A5">
      <w:pPr>
        <w:pStyle w:val="ListParagraph"/>
        <w:numPr>
          <w:ilvl w:val="0"/>
          <w:numId w:val="23"/>
        </w:numPr>
        <w:spacing w:after="0" w:line="240" w:lineRule="auto"/>
        <w:jc w:val="both"/>
      </w:pPr>
      <w:r w:rsidRPr="0074017C">
        <w:t>Reduce very high rates of copayments for medicines through financial stimuli and administrative measures;</w:t>
      </w:r>
    </w:p>
    <w:p w:rsidR="007423A5" w:rsidRPr="0074017C" w:rsidRDefault="007423A5" w:rsidP="007423A5">
      <w:pPr>
        <w:pStyle w:val="ListParagraph"/>
        <w:numPr>
          <w:ilvl w:val="0"/>
          <w:numId w:val="23"/>
        </w:numPr>
        <w:spacing w:after="0" w:line="240" w:lineRule="auto"/>
        <w:jc w:val="both"/>
      </w:pPr>
      <w:r w:rsidRPr="0074017C">
        <w:t>Increase the quality, effectiveness and transparency of reimbursement decision making;</w:t>
      </w:r>
    </w:p>
    <w:p w:rsidR="007423A5" w:rsidRPr="0074017C" w:rsidRDefault="007423A5" w:rsidP="007423A5">
      <w:pPr>
        <w:pStyle w:val="ListParagraph"/>
        <w:numPr>
          <w:ilvl w:val="0"/>
          <w:numId w:val="23"/>
        </w:numPr>
        <w:spacing w:after="0" w:line="240" w:lineRule="auto"/>
        <w:jc w:val="both"/>
      </w:pPr>
      <w:r w:rsidRPr="0074017C">
        <w:t>Improve access and coverage for lifesaving medicines and</w:t>
      </w:r>
    </w:p>
    <w:p w:rsidR="007423A5" w:rsidRPr="0074017C" w:rsidRDefault="007423A5" w:rsidP="007423A5">
      <w:pPr>
        <w:pStyle w:val="ListParagraph"/>
        <w:numPr>
          <w:ilvl w:val="0"/>
          <w:numId w:val="23"/>
        </w:numPr>
        <w:spacing w:after="0" w:line="240" w:lineRule="auto"/>
        <w:jc w:val="both"/>
      </w:pPr>
      <w:r w:rsidRPr="0074017C">
        <w:t>Promote rational prescribing of medicines</w:t>
      </w:r>
    </w:p>
    <w:p w:rsidR="007423A5" w:rsidRPr="0074017C" w:rsidRDefault="007423A5" w:rsidP="004E5E01">
      <w:pPr>
        <w:spacing w:after="0"/>
        <w:jc w:val="both"/>
        <w:rPr>
          <w:rFonts w:ascii="Calibri" w:hAnsi="Calibri" w:cs="Calibri"/>
        </w:rPr>
      </w:pPr>
    </w:p>
    <w:p w:rsidR="0075041A" w:rsidRPr="0074017C" w:rsidRDefault="00C37783" w:rsidP="004E5E01">
      <w:pPr>
        <w:spacing w:after="0"/>
        <w:jc w:val="both"/>
        <w:rPr>
          <w:rFonts w:ascii="Calibri" w:hAnsi="Calibri" w:cs="Calibri"/>
        </w:rPr>
      </w:pPr>
      <w:r w:rsidRPr="0074017C">
        <w:rPr>
          <w:rFonts w:ascii="Calibri" w:hAnsi="Calibri" w:cs="Calibri"/>
        </w:rPr>
        <w:t xml:space="preserve">Recommendations have been marked as short/medium/long term depending on time required for implementation – having in mind available resources in Albania. </w:t>
      </w:r>
      <w:r w:rsidR="00EF6C54" w:rsidRPr="0074017C">
        <w:rPr>
          <w:rFonts w:ascii="Calibri" w:hAnsi="Calibri" w:cs="Calibri"/>
        </w:rPr>
        <w:t xml:space="preserve">Albanian authorities should be able to implement the majority in </w:t>
      </w:r>
      <w:r w:rsidR="0020121F" w:rsidRPr="0074017C">
        <w:rPr>
          <w:rFonts w:ascii="Calibri" w:hAnsi="Calibri" w:cs="Calibri"/>
        </w:rPr>
        <w:t>the</w:t>
      </w:r>
      <w:r w:rsidR="00EF6C54" w:rsidRPr="0074017C">
        <w:rPr>
          <w:rFonts w:ascii="Calibri" w:hAnsi="Calibri" w:cs="Calibri"/>
        </w:rPr>
        <w:t xml:space="preserve"> short term with current human resources and some additional technical assistance. </w:t>
      </w:r>
      <w:r w:rsidR="0020121F" w:rsidRPr="0074017C">
        <w:rPr>
          <w:rFonts w:ascii="Calibri" w:hAnsi="Calibri" w:cs="Calibri"/>
        </w:rPr>
        <w:t>Some would however entail additional analyses, investments in IT and substantial human resources development.</w:t>
      </w:r>
    </w:p>
    <w:p w:rsidR="0075041A" w:rsidRPr="0074017C" w:rsidRDefault="0075041A" w:rsidP="004E5E01">
      <w:pPr>
        <w:spacing w:after="0"/>
        <w:jc w:val="both"/>
        <w:rPr>
          <w:rFonts w:ascii="Calibri" w:hAnsi="Calibri" w:cs="Calibri"/>
        </w:rPr>
      </w:pPr>
    </w:p>
    <w:tbl>
      <w:tblPr>
        <w:tblStyle w:val="TableGrid"/>
        <w:tblW w:w="5000" w:type="pct"/>
        <w:tblLook w:val="04A0"/>
      </w:tblPr>
      <w:tblGrid>
        <w:gridCol w:w="5877"/>
        <w:gridCol w:w="1227"/>
        <w:gridCol w:w="1297"/>
        <w:gridCol w:w="1175"/>
      </w:tblGrid>
      <w:tr w:rsidR="0032043C" w:rsidRPr="0074017C" w:rsidTr="0032043C">
        <w:tc>
          <w:tcPr>
            <w:tcW w:w="0" w:type="auto"/>
            <w:noWrap/>
            <w:hideMark/>
          </w:tcPr>
          <w:p w:rsidR="0032043C" w:rsidRPr="0074017C" w:rsidRDefault="004E5E01" w:rsidP="0032043C">
            <w:pPr>
              <w:rPr>
                <w:b/>
                <w:bCs/>
              </w:rPr>
            </w:pPr>
            <w:r w:rsidRPr="0074017C">
              <w:rPr>
                <w:b/>
                <w:bCs/>
              </w:rPr>
              <w:t>Recommendations in short</w:t>
            </w:r>
          </w:p>
        </w:tc>
        <w:tc>
          <w:tcPr>
            <w:tcW w:w="0" w:type="auto"/>
            <w:hideMark/>
          </w:tcPr>
          <w:p w:rsidR="0032043C" w:rsidRPr="0074017C" w:rsidRDefault="0032043C" w:rsidP="0032043C">
            <w:pPr>
              <w:rPr>
                <w:b/>
                <w:bCs/>
              </w:rPr>
            </w:pPr>
            <w:r w:rsidRPr="0074017C">
              <w:rPr>
                <w:b/>
                <w:bCs/>
              </w:rPr>
              <w:t>Short Term (1-3 months)</w:t>
            </w:r>
          </w:p>
        </w:tc>
        <w:tc>
          <w:tcPr>
            <w:tcW w:w="0" w:type="auto"/>
            <w:hideMark/>
          </w:tcPr>
          <w:p w:rsidR="0032043C" w:rsidRPr="0074017C" w:rsidRDefault="0032043C" w:rsidP="0032043C">
            <w:pPr>
              <w:rPr>
                <w:b/>
                <w:bCs/>
              </w:rPr>
            </w:pPr>
            <w:r w:rsidRPr="0074017C">
              <w:rPr>
                <w:b/>
                <w:bCs/>
              </w:rPr>
              <w:t>Medium Term (6-12 months)</w:t>
            </w:r>
          </w:p>
        </w:tc>
        <w:tc>
          <w:tcPr>
            <w:tcW w:w="0" w:type="auto"/>
            <w:hideMark/>
          </w:tcPr>
          <w:p w:rsidR="0032043C" w:rsidRPr="0074017C" w:rsidRDefault="0032043C" w:rsidP="0032043C">
            <w:pPr>
              <w:rPr>
                <w:b/>
                <w:bCs/>
              </w:rPr>
            </w:pPr>
            <w:r w:rsidRPr="0074017C">
              <w:rPr>
                <w:b/>
                <w:bCs/>
              </w:rPr>
              <w:t>Long Term (12 months +)</w:t>
            </w:r>
          </w:p>
        </w:tc>
      </w:tr>
      <w:tr w:rsidR="0032043C" w:rsidRPr="0074017C" w:rsidTr="0032043C">
        <w:tc>
          <w:tcPr>
            <w:tcW w:w="0" w:type="auto"/>
            <w:gridSpan w:val="4"/>
            <w:shd w:val="clear" w:color="auto" w:fill="D9D9D9" w:themeFill="background1" w:themeFillShade="D9"/>
            <w:noWrap/>
            <w:hideMark/>
          </w:tcPr>
          <w:p w:rsidR="0032043C" w:rsidRPr="0074017C" w:rsidRDefault="0032043C" w:rsidP="0032043C">
            <w:pPr>
              <w:jc w:val="center"/>
              <w:rPr>
                <w:b/>
                <w:bCs/>
                <w:i/>
                <w:iCs/>
              </w:rPr>
            </w:pPr>
            <w:r w:rsidRPr="0074017C">
              <w:rPr>
                <w:b/>
                <w:bCs/>
                <w:i/>
                <w:iCs/>
              </w:rPr>
              <w:t>Supply-side policies</w:t>
            </w:r>
          </w:p>
          <w:p w:rsidR="0075041A" w:rsidRPr="0074017C" w:rsidRDefault="0075041A" w:rsidP="0032043C">
            <w:pPr>
              <w:jc w:val="center"/>
            </w:pPr>
          </w:p>
        </w:tc>
      </w:tr>
      <w:tr w:rsidR="0032043C" w:rsidRPr="0074017C" w:rsidTr="0032043C">
        <w:tc>
          <w:tcPr>
            <w:tcW w:w="0" w:type="auto"/>
            <w:noWrap/>
            <w:hideMark/>
          </w:tcPr>
          <w:p w:rsidR="0032043C" w:rsidRPr="0074017C" w:rsidRDefault="00C03E35" w:rsidP="00EF128A">
            <w:r w:rsidRPr="0074017C">
              <w:t>List</w:t>
            </w:r>
            <w:r w:rsidR="00EF128A" w:rsidRPr="0074017C">
              <w:t xml:space="preserve"> packs instead of </w:t>
            </w:r>
            <w:r w:rsidR="0032043C" w:rsidRPr="0074017C">
              <w:t>unit doses</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EF128A" w:rsidP="00C03E35">
            <w:r w:rsidRPr="0074017C">
              <w:t xml:space="preserve">IRP - </w:t>
            </w:r>
            <w:r w:rsidR="00C03E35" w:rsidRPr="0074017C">
              <w:t>compare</w:t>
            </w:r>
            <w:r w:rsidR="0032043C" w:rsidRPr="0074017C">
              <w:t xml:space="preserve"> prices of off-patent medicines by INN, not brand name</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EF128A" w:rsidP="00C03E35">
            <w:r w:rsidRPr="0074017C">
              <w:t xml:space="preserve">IRP - </w:t>
            </w:r>
            <w:r w:rsidR="00C03E35" w:rsidRPr="0074017C">
              <w:t>compare</w:t>
            </w:r>
            <w:r w:rsidR="0032043C" w:rsidRPr="0074017C">
              <w:t xml:space="preserve"> wholesale prices, not CFR</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EF128A" w:rsidP="00C03E35">
            <w:r w:rsidRPr="0074017C">
              <w:t xml:space="preserve">IRP - </w:t>
            </w:r>
            <w:r w:rsidR="00C03E35" w:rsidRPr="0074017C">
              <w:t>expand</w:t>
            </w:r>
            <w:r w:rsidR="0032043C" w:rsidRPr="0074017C">
              <w:t xml:space="preserve"> the list of comparator countries to include Serbia and </w:t>
            </w:r>
            <w:r w:rsidR="00C03E35" w:rsidRPr="0074017C">
              <w:t>calculate</w:t>
            </w:r>
            <w:r w:rsidR="0032043C" w:rsidRPr="0074017C">
              <w:t xml:space="preserve"> prices twice annually</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hideMark/>
          </w:tcPr>
          <w:p w:rsidR="0032043C" w:rsidRPr="0074017C" w:rsidRDefault="0032043C" w:rsidP="0032043C"/>
        </w:tc>
        <w:tc>
          <w:tcPr>
            <w:tcW w:w="0" w:type="auto"/>
            <w:hideMark/>
          </w:tcPr>
          <w:p w:rsidR="0032043C" w:rsidRPr="0074017C" w:rsidRDefault="0032043C" w:rsidP="0032043C"/>
        </w:tc>
      </w:tr>
      <w:tr w:rsidR="0032043C" w:rsidRPr="0074017C" w:rsidTr="0032043C">
        <w:tc>
          <w:tcPr>
            <w:tcW w:w="0" w:type="auto"/>
            <w:hideMark/>
          </w:tcPr>
          <w:p w:rsidR="0032043C" w:rsidRPr="0074017C" w:rsidRDefault="00EF128A" w:rsidP="00C03E35">
            <w:r w:rsidRPr="0074017C">
              <w:t xml:space="preserve">IRP - </w:t>
            </w:r>
            <w:r w:rsidR="00C03E35" w:rsidRPr="0074017C">
              <w:t>implement</w:t>
            </w:r>
            <w:r w:rsidR="0032043C" w:rsidRPr="0074017C">
              <w:t xml:space="preserve"> price comparisons through an IT system</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Redefine</w:t>
            </w:r>
            <w:r w:rsidR="0032043C" w:rsidRPr="0074017C">
              <w:t xml:space="preserve"> the reimbursement decision making methodology and due process in more detail for prescription medicines and expensive outpatient medicines </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Define</w:t>
            </w:r>
            <w:r w:rsidR="0032043C" w:rsidRPr="0074017C">
              <w:t xml:space="preserve"> the reimbursement decision making methodology and due process for hospital medicines</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Invest</w:t>
            </w:r>
            <w:r w:rsidR="0032043C" w:rsidRPr="0074017C">
              <w:t xml:space="preserve"> in building resources for HTA</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Introduce</w:t>
            </w:r>
            <w:r w:rsidR="00A47735" w:rsidRPr="0074017C">
              <w:t xml:space="preserve">larger </w:t>
            </w:r>
            <w:r w:rsidR="0032043C" w:rsidRPr="0074017C">
              <w:t xml:space="preserve">mandatory reimbursement price cuts for generic medicines that seek reimbursement </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Introduce</w:t>
            </w:r>
            <w:r w:rsidR="0032043C" w:rsidRPr="0074017C">
              <w:t xml:space="preserve"> mandatory reimbursement price cuts for me too medicines that seek reimbursement </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Reference price</w:t>
            </w:r>
            <w:r w:rsidR="0032043C" w:rsidRPr="0074017C">
              <w:t xml:space="preserve"> various strengths of INNs</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C03E35">
            <w:r w:rsidRPr="0074017C">
              <w:t xml:space="preserve">Reference price </w:t>
            </w:r>
            <w:r w:rsidR="0032043C" w:rsidRPr="0074017C">
              <w:t>combination tablets vs individual components</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32043C" w:rsidP="00C03E35">
            <w:r w:rsidRPr="0074017C">
              <w:t xml:space="preserve">Reference </w:t>
            </w:r>
            <w:r w:rsidR="00C03E35" w:rsidRPr="0074017C">
              <w:t>price</w:t>
            </w:r>
            <w:r w:rsidRPr="0074017C">
              <w:t xml:space="preserve"> me too medicines in selected groups at ATC level 4</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Update</w:t>
            </w:r>
            <w:r w:rsidR="0032043C" w:rsidRPr="0074017C">
              <w:t xml:space="preserve"> the reimbursement list quarterly</w:t>
            </w:r>
          </w:p>
        </w:tc>
        <w:tc>
          <w:tcPr>
            <w:tcW w:w="0" w:type="auto"/>
            <w:noWrap/>
            <w:hideMark/>
          </w:tcPr>
          <w:p w:rsidR="0032043C" w:rsidRPr="0074017C" w:rsidRDefault="0032043C" w:rsidP="0032043C"/>
        </w:tc>
        <w:tc>
          <w:tcPr>
            <w:tcW w:w="0" w:type="auto"/>
            <w:noWrap/>
            <w:hideMark/>
          </w:tcPr>
          <w:p w:rsidR="0032043C" w:rsidRPr="0074017C" w:rsidRDefault="00404571" w:rsidP="0032043C">
            <w:r w:rsidRPr="0074017C">
              <w:rPr>
                <w:rFonts w:ascii="MS Gothic" w:eastAsia="MS Gothic" w:hAnsi="MS Gothic" w:cs="MS Gothic"/>
              </w:rPr>
              <w:t>✗</w:t>
            </w:r>
          </w:p>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Tender</w:t>
            </w:r>
            <w:r w:rsidR="0032043C" w:rsidRPr="0074017C">
              <w:t xml:space="preserve"> selected groups of prescription medicines </w:t>
            </w:r>
          </w:p>
        </w:tc>
        <w:tc>
          <w:tcPr>
            <w:tcW w:w="0" w:type="auto"/>
            <w:noWrap/>
            <w:hideMark/>
          </w:tcPr>
          <w:p w:rsidR="0032043C" w:rsidRPr="0074017C" w:rsidRDefault="0032043C" w:rsidP="0032043C"/>
        </w:tc>
        <w:tc>
          <w:tcPr>
            <w:tcW w:w="0" w:type="auto"/>
            <w:noWrap/>
            <w:hideMark/>
          </w:tcPr>
          <w:p w:rsidR="0032043C" w:rsidRPr="0074017C" w:rsidRDefault="00EF6C54" w:rsidP="0032043C">
            <w:r w:rsidRPr="0074017C">
              <w:rPr>
                <w:rFonts w:ascii="MS Gothic" w:eastAsia="MS Gothic" w:hAnsi="MS Gothic" w:cs="MS Gothic"/>
              </w:rPr>
              <w:t>✗</w:t>
            </w:r>
          </w:p>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lastRenderedPageBreak/>
              <w:t>Introduce</w:t>
            </w:r>
            <w:r w:rsidR="0032043C" w:rsidRPr="0074017C">
              <w:t xml:space="preserve"> mandatory managed entry agreements for all expensive medicines – both prescription and hospital and stop tendering patented hospital medicines  </w:t>
            </w:r>
          </w:p>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Introduce</w:t>
            </w:r>
            <w:r w:rsidR="0032043C" w:rsidRPr="0074017C">
              <w:t xml:space="preserve"> cross product agreements for reimbursement of new medicines </w:t>
            </w:r>
          </w:p>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r>
      <w:tr w:rsidR="0032043C" w:rsidRPr="0074017C" w:rsidTr="0032043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gridSpan w:val="4"/>
            <w:shd w:val="clear" w:color="auto" w:fill="D9D9D9" w:themeFill="background1" w:themeFillShade="D9"/>
            <w:hideMark/>
          </w:tcPr>
          <w:p w:rsidR="0032043C" w:rsidRPr="0074017C" w:rsidRDefault="0032043C" w:rsidP="0032043C">
            <w:pPr>
              <w:jc w:val="center"/>
              <w:rPr>
                <w:b/>
                <w:bCs/>
                <w:i/>
                <w:iCs/>
              </w:rPr>
            </w:pPr>
            <w:r w:rsidRPr="0074017C">
              <w:rPr>
                <w:b/>
                <w:bCs/>
                <w:i/>
                <w:iCs/>
              </w:rPr>
              <w:t>Demand side policies</w:t>
            </w:r>
          </w:p>
          <w:p w:rsidR="0075041A" w:rsidRPr="0074017C" w:rsidRDefault="0075041A" w:rsidP="0032043C">
            <w:pPr>
              <w:jc w:val="center"/>
              <w:rPr>
                <w:b/>
                <w:bCs/>
                <w:i/>
                <w:iCs/>
              </w:rPr>
            </w:pPr>
          </w:p>
        </w:tc>
      </w:tr>
      <w:tr w:rsidR="0032043C" w:rsidRPr="0074017C" w:rsidTr="0032043C">
        <w:tc>
          <w:tcPr>
            <w:tcW w:w="0" w:type="auto"/>
            <w:hideMark/>
          </w:tcPr>
          <w:p w:rsidR="0032043C" w:rsidRPr="0074017C" w:rsidRDefault="00C03E35" w:rsidP="0032043C">
            <w:r w:rsidRPr="0074017C">
              <w:t>Regulate</w:t>
            </w:r>
            <w:r w:rsidR="0032043C" w:rsidRPr="0074017C">
              <w:t xml:space="preserve"> promotion conducted by pharmaceutical companies </w:t>
            </w:r>
          </w:p>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Educate</w:t>
            </w:r>
            <w:r w:rsidR="0032043C" w:rsidRPr="0074017C">
              <w:t xml:space="preserve"> prescribers on rational use of medicines </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Benchmark</w:t>
            </w:r>
            <w:r w:rsidR="0032043C" w:rsidRPr="0074017C">
              <w:t xml:space="preserve"> GPs according to prescription indicators</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Introduce</w:t>
            </w:r>
            <w:r w:rsidR="0032043C" w:rsidRPr="0074017C">
              <w:t xml:space="preserve"> stricter control on adherence to prescribing guidelines for GPs </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Prohibit</w:t>
            </w:r>
            <w:r w:rsidR="0032043C" w:rsidRPr="0074017C">
              <w:t xml:space="preserve"> specialists from recommending medicines using brand names and prescribing expensive hospital outpatient medicines by brand name and specialists and GPs from prescribing non reimbursed medicines by brand names </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Introduce</w:t>
            </w:r>
            <w:r w:rsidR="0032043C" w:rsidRPr="0074017C">
              <w:t xml:space="preserve"> clinical guidelines for expensive inpatient and outpatient hospital medicines </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Introduce</w:t>
            </w:r>
            <w:r w:rsidR="0032043C" w:rsidRPr="0074017C">
              <w:t xml:space="preserve"> regressive markups for prescription medicines and allow substitution of medicines prescribed by brand name only for a lower priced generic copy</w:t>
            </w:r>
          </w:p>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90256F">
            <w:r w:rsidRPr="0074017C">
              <w:t>Implement</w:t>
            </w:r>
            <w:r w:rsidR="0090256F" w:rsidRPr="0074017C">
              <w:t xml:space="preserve"> p</w:t>
            </w:r>
            <w:r w:rsidR="0032043C" w:rsidRPr="0074017C">
              <w:t xml:space="preserve">ublic campaigns to assure patients of the quality of registered generics </w:t>
            </w:r>
          </w:p>
        </w:tc>
        <w:tc>
          <w:tcPr>
            <w:tcW w:w="0" w:type="auto"/>
            <w:noWrap/>
            <w:hideMark/>
          </w:tcPr>
          <w:p w:rsidR="0032043C" w:rsidRPr="0074017C" w:rsidRDefault="00EF6C54"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Limit</w:t>
            </w:r>
            <w:r w:rsidR="0032043C" w:rsidRPr="0074017C">
              <w:t xml:space="preserve"> co-payments for reimbursed medicines</w:t>
            </w:r>
          </w:p>
        </w:tc>
        <w:tc>
          <w:tcPr>
            <w:tcW w:w="0" w:type="auto"/>
            <w:noWrap/>
            <w:hideMark/>
          </w:tcPr>
          <w:p w:rsidR="0032043C" w:rsidRPr="0074017C" w:rsidRDefault="0032043C" w:rsidP="0032043C">
            <w:r w:rsidRPr="0074017C">
              <w:rPr>
                <w:rFonts w:ascii="MS Gothic" w:eastAsia="MS Gothic" w:hAnsi="MS Gothic" w:cs="MS Gothic"/>
              </w:rPr>
              <w:t>✗</w:t>
            </w:r>
          </w:p>
        </w:tc>
        <w:tc>
          <w:tcPr>
            <w:tcW w:w="0" w:type="auto"/>
            <w:noWrap/>
            <w:hideMark/>
          </w:tcPr>
          <w:p w:rsidR="0032043C" w:rsidRPr="0074017C" w:rsidRDefault="0032043C" w:rsidP="0032043C"/>
        </w:tc>
        <w:tc>
          <w:tcPr>
            <w:tcW w:w="0" w:type="auto"/>
            <w:noWrap/>
            <w:hideMark/>
          </w:tcPr>
          <w:p w:rsidR="0032043C" w:rsidRPr="0074017C" w:rsidRDefault="0032043C" w:rsidP="0032043C"/>
        </w:tc>
      </w:tr>
      <w:tr w:rsidR="0032043C" w:rsidRPr="0074017C" w:rsidTr="0032043C">
        <w:tc>
          <w:tcPr>
            <w:tcW w:w="0" w:type="auto"/>
            <w:hideMark/>
          </w:tcPr>
          <w:p w:rsidR="0032043C" w:rsidRPr="0074017C" w:rsidRDefault="00C03E35" w:rsidP="0032043C">
            <w:r w:rsidRPr="0074017C">
              <w:t>Implement</w:t>
            </w:r>
            <w:r w:rsidR="0032043C" w:rsidRPr="0074017C">
              <w:t>ePrescription</w:t>
            </w:r>
            <w:r w:rsidRPr="0074017C">
              <w:t>s</w:t>
            </w:r>
            <w:r w:rsidR="0032043C" w:rsidRPr="0074017C">
              <w:t xml:space="preserve"> and Track and Trace technology</w:t>
            </w:r>
          </w:p>
        </w:tc>
        <w:tc>
          <w:tcPr>
            <w:tcW w:w="0" w:type="auto"/>
            <w:noWrap/>
            <w:hideMark/>
          </w:tcPr>
          <w:p w:rsidR="0032043C" w:rsidRPr="0074017C" w:rsidRDefault="0032043C" w:rsidP="0032043C"/>
        </w:tc>
        <w:tc>
          <w:tcPr>
            <w:tcW w:w="0" w:type="auto"/>
            <w:noWrap/>
            <w:hideMark/>
          </w:tcPr>
          <w:p w:rsidR="0032043C" w:rsidRPr="0074017C" w:rsidRDefault="0032043C" w:rsidP="0032043C"/>
        </w:tc>
        <w:tc>
          <w:tcPr>
            <w:tcW w:w="0" w:type="auto"/>
            <w:noWrap/>
            <w:hideMark/>
          </w:tcPr>
          <w:p w:rsidR="0032043C" w:rsidRPr="0074017C" w:rsidRDefault="0032043C" w:rsidP="0032043C">
            <w:r w:rsidRPr="0074017C">
              <w:rPr>
                <w:rFonts w:ascii="MS Gothic" w:eastAsia="MS Gothic" w:hAnsi="MS Gothic" w:cs="MS Gothic"/>
              </w:rPr>
              <w:t>✗</w:t>
            </w:r>
          </w:p>
        </w:tc>
      </w:tr>
      <w:tr w:rsidR="0032043C" w:rsidRPr="0074017C" w:rsidTr="0032043C">
        <w:tc>
          <w:tcPr>
            <w:tcW w:w="0" w:type="auto"/>
            <w:hideMark/>
          </w:tcPr>
          <w:p w:rsidR="0032043C" w:rsidRPr="0074017C" w:rsidRDefault="00C03E35" w:rsidP="0032043C">
            <w:r w:rsidRPr="0074017C">
              <w:t>Expand</w:t>
            </w:r>
            <w:r w:rsidR="0032043C" w:rsidRPr="0074017C">
              <w:t xml:space="preserve"> the categories of Insured relieved of contributions to include financially deprived who can't afford copayments for all medicines or for a subset of essential medicines</w:t>
            </w:r>
          </w:p>
        </w:tc>
        <w:tc>
          <w:tcPr>
            <w:tcW w:w="0" w:type="auto"/>
            <w:noWrap/>
            <w:hideMark/>
          </w:tcPr>
          <w:p w:rsidR="0032043C" w:rsidRPr="0074017C" w:rsidRDefault="0032043C" w:rsidP="0032043C"/>
        </w:tc>
        <w:tc>
          <w:tcPr>
            <w:tcW w:w="0" w:type="auto"/>
            <w:noWrap/>
            <w:hideMark/>
          </w:tcPr>
          <w:p w:rsidR="0032043C" w:rsidRPr="0074017C" w:rsidRDefault="00EF6C54" w:rsidP="0032043C">
            <w:r w:rsidRPr="0074017C">
              <w:rPr>
                <w:rFonts w:ascii="MS Gothic" w:eastAsia="MS Gothic" w:hAnsi="MS Gothic" w:cs="MS Gothic"/>
              </w:rPr>
              <w:t>✗</w:t>
            </w:r>
          </w:p>
        </w:tc>
        <w:tc>
          <w:tcPr>
            <w:tcW w:w="0" w:type="auto"/>
            <w:noWrap/>
            <w:hideMark/>
          </w:tcPr>
          <w:p w:rsidR="0032043C" w:rsidRPr="0074017C" w:rsidRDefault="0032043C" w:rsidP="0032043C"/>
        </w:tc>
      </w:tr>
    </w:tbl>
    <w:p w:rsidR="0032043C" w:rsidRPr="0074017C" w:rsidRDefault="0032043C" w:rsidP="0032043C">
      <w:pPr>
        <w:spacing w:after="0" w:line="240" w:lineRule="auto"/>
      </w:pPr>
    </w:p>
    <w:p w:rsidR="0032043C" w:rsidRPr="0074017C" w:rsidRDefault="0032043C">
      <w:pPr>
        <w:rPr>
          <w:rFonts w:asciiTheme="majorHAnsi" w:eastAsiaTheme="majorEastAsia" w:hAnsiTheme="majorHAnsi" w:cstheme="majorBidi"/>
          <w:b/>
          <w:bCs/>
          <w:color w:val="365F91" w:themeColor="accent1" w:themeShade="BF"/>
          <w:sz w:val="28"/>
          <w:szCs w:val="28"/>
        </w:rPr>
      </w:pPr>
    </w:p>
    <w:p w:rsidR="007423A5" w:rsidRPr="0074017C" w:rsidRDefault="007423A5">
      <w:pPr>
        <w:rPr>
          <w:rFonts w:asciiTheme="majorHAnsi" w:eastAsiaTheme="majorEastAsia" w:hAnsiTheme="majorHAnsi" w:cstheme="majorBidi"/>
          <w:b/>
          <w:bCs/>
          <w:color w:val="365F91" w:themeColor="accent1" w:themeShade="BF"/>
          <w:sz w:val="28"/>
          <w:szCs w:val="28"/>
        </w:rPr>
      </w:pPr>
      <w:r w:rsidRPr="0074017C">
        <w:br w:type="page"/>
      </w:r>
    </w:p>
    <w:p w:rsidR="002E3225" w:rsidRPr="0074017C" w:rsidRDefault="002B70F5" w:rsidP="00DC10CD">
      <w:pPr>
        <w:pStyle w:val="Heading1"/>
        <w:spacing w:before="0" w:line="240" w:lineRule="auto"/>
      </w:pPr>
      <w:bookmarkStart w:id="2" w:name="_Toc391556300"/>
      <w:r w:rsidRPr="0074017C">
        <w:lastRenderedPageBreak/>
        <w:t>Background and over</w:t>
      </w:r>
      <w:r w:rsidR="002E3225" w:rsidRPr="0074017C">
        <w:t>view</w:t>
      </w:r>
      <w:bookmarkEnd w:id="2"/>
    </w:p>
    <w:p w:rsidR="00E53E25" w:rsidRPr="0074017C" w:rsidRDefault="00E53E25" w:rsidP="00DC10CD">
      <w:pPr>
        <w:pStyle w:val="Heading2"/>
        <w:spacing w:before="0" w:line="240" w:lineRule="auto"/>
      </w:pPr>
    </w:p>
    <w:p w:rsidR="006A3136" w:rsidRPr="0074017C" w:rsidRDefault="00286AC2" w:rsidP="00DC10CD">
      <w:pPr>
        <w:pStyle w:val="Heading2"/>
        <w:spacing w:before="0" w:line="240" w:lineRule="auto"/>
      </w:pPr>
      <w:bookmarkStart w:id="3" w:name="_Toc391556301"/>
      <w:r w:rsidRPr="0074017C">
        <w:t>Medicines in the Context of t</w:t>
      </w:r>
      <w:r w:rsidR="006A3136" w:rsidRPr="0074017C">
        <w:t>he Albanian Health Care System</w:t>
      </w:r>
      <w:bookmarkEnd w:id="3"/>
    </w:p>
    <w:p w:rsidR="00192397" w:rsidRPr="0074017C" w:rsidRDefault="00192397" w:rsidP="00DC10CD">
      <w:pPr>
        <w:spacing w:after="0" w:line="240" w:lineRule="auto"/>
      </w:pPr>
    </w:p>
    <w:p w:rsidR="00055CEE" w:rsidRPr="0074017C" w:rsidRDefault="00192397" w:rsidP="00DC10CD">
      <w:pPr>
        <w:spacing w:after="0" w:line="240" w:lineRule="auto"/>
        <w:jc w:val="both"/>
      </w:pPr>
      <w:r w:rsidRPr="0074017C">
        <w:t>Albania spends 6 percent of GDP on health care</w:t>
      </w:r>
      <w:r w:rsidRPr="0074017C">
        <w:rPr>
          <w:rStyle w:val="FootnoteReference"/>
          <w:b/>
        </w:rPr>
        <w:footnoteReference w:id="2"/>
      </w:r>
      <w:r w:rsidRPr="0074017C">
        <w:t xml:space="preserve">. In 2013, public spending on health was only 2.6 percent of GDP (43 percent), the lowest among countries in the region. </w:t>
      </w:r>
      <w:r w:rsidR="003003B8" w:rsidRPr="0074017C">
        <w:t>Compared to other Western Balkans countries, total expenditure on health per capita</w:t>
      </w:r>
      <w:r w:rsidR="00D076D5" w:rsidRPr="0074017C">
        <w:t xml:space="preserve"> in US$ </w:t>
      </w:r>
      <w:r w:rsidR="003003B8" w:rsidRPr="0074017C">
        <w:t xml:space="preserve">is modest, as is </w:t>
      </w:r>
      <w:r w:rsidR="00875271" w:rsidRPr="0074017C">
        <w:t xml:space="preserve">the share of the government’s </w:t>
      </w:r>
      <w:r w:rsidR="003003B8" w:rsidRPr="0074017C">
        <w:t xml:space="preserve">expenditure </w:t>
      </w:r>
      <w:r w:rsidR="00875271" w:rsidRPr="0074017C">
        <w:t>on health out of the total government expenditure</w:t>
      </w:r>
      <w:r w:rsidR="003003B8" w:rsidRPr="0074017C">
        <w:t xml:space="preserve">. The share of private expenditure on health in total health expenditure is highest in the region (see table 1). </w:t>
      </w:r>
      <w:r w:rsidRPr="0074017C">
        <w:t>Out of pocket expenditures are very high and account for as much as 55 percent of total expenditures on health. Of these, 45% are spent on pharmaceuticals, the remaining spent primarily on outpatient health services. Only 61 percent of the population is cove</w:t>
      </w:r>
      <w:r w:rsidR="00564666" w:rsidRPr="0074017C">
        <w:t>red by social health insurance and u</w:t>
      </w:r>
      <w:r w:rsidRPr="0074017C">
        <w:t xml:space="preserve">p to 3 percent of households are pushed into poverty as a result of health spending. </w:t>
      </w:r>
      <w:r w:rsidR="00564666" w:rsidRPr="0074017C">
        <w:t xml:space="preserve">Unofficial payments remain common and are estimated at 10 percent of total out of pocket expenditure. </w:t>
      </w:r>
      <w:r w:rsidR="00055CEE" w:rsidRPr="0074017C">
        <w:t>Inpatient services and long-term treatment su</w:t>
      </w:r>
      <w:r w:rsidR="00D77215" w:rsidRPr="0074017C">
        <w:t xml:space="preserve">ch as cancer, </w:t>
      </w:r>
      <w:r w:rsidR="00055CEE" w:rsidRPr="0074017C">
        <w:t>tuberculosis</w:t>
      </w:r>
      <w:r w:rsidR="00D77215" w:rsidRPr="0074017C">
        <w:t xml:space="preserve"> and multiple sclerosis</w:t>
      </w:r>
      <w:r w:rsidR="00B30A5F" w:rsidRPr="0074017C">
        <w:t>are however</w:t>
      </w:r>
      <w:r w:rsidR="00EE12C6" w:rsidRPr="0074017C">
        <w:t xml:space="preserve"> (in theory)</w:t>
      </w:r>
      <w:r w:rsidR="00055CEE" w:rsidRPr="0074017C">
        <w:t>offered free of charge for the entire population</w:t>
      </w:r>
      <w:r w:rsidR="00B30A5F" w:rsidRPr="0074017C">
        <w:rPr>
          <w:rStyle w:val="FootnoteReference"/>
        </w:rPr>
        <w:footnoteReference w:id="3"/>
      </w:r>
      <w:r w:rsidR="00B30A5F" w:rsidRPr="0074017C">
        <w:t>.</w:t>
      </w:r>
    </w:p>
    <w:p w:rsidR="00564666" w:rsidRPr="0074017C" w:rsidRDefault="00564666" w:rsidP="00DC10CD">
      <w:pPr>
        <w:spacing w:after="0" w:line="240" w:lineRule="auto"/>
        <w:jc w:val="both"/>
      </w:pPr>
    </w:p>
    <w:p w:rsidR="003003B8" w:rsidRPr="0074017C" w:rsidRDefault="003003B8" w:rsidP="00DC10CD">
      <w:pPr>
        <w:spacing w:after="0" w:line="240" w:lineRule="auto"/>
        <w:jc w:val="both"/>
      </w:pPr>
      <w:r w:rsidRPr="0074017C">
        <w:t>Table 1</w:t>
      </w:r>
      <w:r w:rsidR="00B90BFE" w:rsidRPr="0074017C">
        <w:t xml:space="preserve"> – Albania compared to selected Western Balkans countries in macroeconomic context </w:t>
      </w:r>
    </w:p>
    <w:tbl>
      <w:tblPr>
        <w:tblStyle w:val="TableGrid"/>
        <w:tblW w:w="0" w:type="auto"/>
        <w:tblLayout w:type="fixed"/>
        <w:tblLook w:val="04A0"/>
      </w:tblPr>
      <w:tblGrid>
        <w:gridCol w:w="1452"/>
        <w:gridCol w:w="3192"/>
        <w:gridCol w:w="1233"/>
        <w:gridCol w:w="1233"/>
        <w:gridCol w:w="1233"/>
        <w:gridCol w:w="1233"/>
      </w:tblGrid>
      <w:tr w:rsidR="003003B8" w:rsidRPr="0074017C" w:rsidTr="003003B8">
        <w:trPr>
          <w:trHeight w:val="290"/>
        </w:trPr>
        <w:tc>
          <w:tcPr>
            <w:tcW w:w="1452" w:type="dxa"/>
            <w:noWrap/>
            <w:hideMark/>
          </w:tcPr>
          <w:p w:rsidR="003003B8" w:rsidRPr="0074017C" w:rsidRDefault="003003B8" w:rsidP="003003B8">
            <w:pPr>
              <w:jc w:val="both"/>
              <w:rPr>
                <w:b/>
                <w:bCs/>
              </w:rPr>
            </w:pPr>
            <w:r w:rsidRPr="0074017C">
              <w:rPr>
                <w:b/>
                <w:bCs/>
              </w:rPr>
              <w:t>Country</w:t>
            </w:r>
          </w:p>
        </w:tc>
        <w:tc>
          <w:tcPr>
            <w:tcW w:w="3192" w:type="dxa"/>
            <w:noWrap/>
            <w:hideMark/>
          </w:tcPr>
          <w:p w:rsidR="003003B8" w:rsidRPr="0074017C" w:rsidRDefault="003003B8" w:rsidP="003003B8">
            <w:pPr>
              <w:jc w:val="both"/>
              <w:rPr>
                <w:b/>
                <w:bCs/>
              </w:rPr>
            </w:pPr>
            <w:r w:rsidRPr="0074017C">
              <w:rPr>
                <w:b/>
                <w:bCs/>
              </w:rPr>
              <w:t>Indicator</w:t>
            </w:r>
          </w:p>
        </w:tc>
        <w:tc>
          <w:tcPr>
            <w:tcW w:w="1233" w:type="dxa"/>
            <w:noWrap/>
            <w:hideMark/>
          </w:tcPr>
          <w:p w:rsidR="003003B8" w:rsidRPr="0074017C" w:rsidRDefault="003003B8" w:rsidP="003003B8">
            <w:pPr>
              <w:jc w:val="both"/>
              <w:rPr>
                <w:b/>
                <w:bCs/>
              </w:rPr>
            </w:pPr>
            <w:r w:rsidRPr="0074017C">
              <w:rPr>
                <w:b/>
                <w:bCs/>
              </w:rPr>
              <w:t>2009</w:t>
            </w:r>
          </w:p>
        </w:tc>
        <w:tc>
          <w:tcPr>
            <w:tcW w:w="1233" w:type="dxa"/>
            <w:noWrap/>
            <w:hideMark/>
          </w:tcPr>
          <w:p w:rsidR="003003B8" w:rsidRPr="0074017C" w:rsidRDefault="003003B8" w:rsidP="003003B8">
            <w:pPr>
              <w:jc w:val="both"/>
              <w:rPr>
                <w:b/>
                <w:bCs/>
              </w:rPr>
            </w:pPr>
            <w:r w:rsidRPr="0074017C">
              <w:rPr>
                <w:b/>
                <w:bCs/>
              </w:rPr>
              <w:t>2010</w:t>
            </w:r>
          </w:p>
        </w:tc>
        <w:tc>
          <w:tcPr>
            <w:tcW w:w="1233" w:type="dxa"/>
            <w:noWrap/>
            <w:hideMark/>
          </w:tcPr>
          <w:p w:rsidR="003003B8" w:rsidRPr="0074017C" w:rsidRDefault="003003B8" w:rsidP="003003B8">
            <w:pPr>
              <w:jc w:val="both"/>
              <w:rPr>
                <w:b/>
                <w:bCs/>
              </w:rPr>
            </w:pPr>
            <w:r w:rsidRPr="0074017C">
              <w:rPr>
                <w:b/>
                <w:bCs/>
              </w:rPr>
              <w:t>2011</w:t>
            </w:r>
          </w:p>
        </w:tc>
        <w:tc>
          <w:tcPr>
            <w:tcW w:w="1233" w:type="dxa"/>
            <w:noWrap/>
            <w:hideMark/>
          </w:tcPr>
          <w:p w:rsidR="003003B8" w:rsidRPr="0074017C" w:rsidRDefault="003003B8" w:rsidP="003003B8">
            <w:pPr>
              <w:jc w:val="both"/>
              <w:rPr>
                <w:b/>
                <w:bCs/>
              </w:rPr>
            </w:pPr>
            <w:r w:rsidRPr="0074017C">
              <w:rPr>
                <w:b/>
                <w:bCs/>
              </w:rPr>
              <w:t>2012</w:t>
            </w:r>
          </w:p>
        </w:tc>
      </w:tr>
      <w:tr w:rsidR="00107F4E" w:rsidRPr="0074017C" w:rsidTr="00107F4E">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Albania</w:t>
            </w:r>
          </w:p>
        </w:tc>
        <w:tc>
          <w:tcPr>
            <w:tcW w:w="3192" w:type="dxa"/>
            <w:vMerge w:val="restart"/>
            <w:shd w:val="clear" w:color="auto" w:fill="D9D9D9" w:themeFill="background1" w:themeFillShade="D9"/>
            <w:noWrap/>
            <w:vAlign w:val="center"/>
            <w:hideMark/>
          </w:tcPr>
          <w:p w:rsidR="00107F4E" w:rsidRPr="0074017C" w:rsidRDefault="00107F4E" w:rsidP="00107F4E">
            <w:pPr>
              <w:rPr>
                <w:b/>
              </w:rPr>
            </w:pPr>
            <w:r w:rsidRPr="0074017C">
              <w:rPr>
                <w:b/>
              </w:rPr>
              <w:t>Health expenditure per capita (current US$)</w:t>
            </w:r>
          </w:p>
        </w:tc>
        <w:tc>
          <w:tcPr>
            <w:tcW w:w="1233" w:type="dxa"/>
            <w:shd w:val="clear" w:color="auto" w:fill="D9D9D9" w:themeFill="background1" w:themeFillShade="D9"/>
            <w:noWrap/>
            <w:hideMark/>
          </w:tcPr>
          <w:p w:rsidR="00107F4E" w:rsidRPr="0074017C" w:rsidRDefault="00107F4E" w:rsidP="003003B8">
            <w:pPr>
              <w:jc w:val="both"/>
            </w:pPr>
            <w:r w:rsidRPr="0074017C">
              <w:t>229,99</w:t>
            </w:r>
          </w:p>
        </w:tc>
        <w:tc>
          <w:tcPr>
            <w:tcW w:w="1233" w:type="dxa"/>
            <w:shd w:val="clear" w:color="auto" w:fill="D9D9D9" w:themeFill="background1" w:themeFillShade="D9"/>
            <w:noWrap/>
            <w:hideMark/>
          </w:tcPr>
          <w:p w:rsidR="00107F4E" w:rsidRPr="0074017C" w:rsidRDefault="00107F4E" w:rsidP="003003B8">
            <w:pPr>
              <w:jc w:val="both"/>
            </w:pPr>
            <w:r w:rsidRPr="0074017C">
              <w:t>206,62</w:t>
            </w:r>
          </w:p>
        </w:tc>
        <w:tc>
          <w:tcPr>
            <w:tcW w:w="1233" w:type="dxa"/>
            <w:shd w:val="clear" w:color="auto" w:fill="D9D9D9" w:themeFill="background1" w:themeFillShade="D9"/>
            <w:noWrap/>
            <w:hideMark/>
          </w:tcPr>
          <w:p w:rsidR="00107F4E" w:rsidRPr="0074017C" w:rsidRDefault="00107F4E" w:rsidP="003003B8">
            <w:pPr>
              <w:jc w:val="both"/>
            </w:pPr>
            <w:r w:rsidRPr="0074017C">
              <w:t>242,92</w:t>
            </w:r>
          </w:p>
        </w:tc>
        <w:tc>
          <w:tcPr>
            <w:tcW w:w="1233" w:type="dxa"/>
            <w:shd w:val="clear" w:color="auto" w:fill="D9D9D9" w:themeFill="background1" w:themeFillShade="D9"/>
            <w:noWrap/>
            <w:hideMark/>
          </w:tcPr>
          <w:p w:rsidR="00107F4E" w:rsidRPr="0074017C" w:rsidRDefault="00107F4E" w:rsidP="003003B8">
            <w:pPr>
              <w:jc w:val="both"/>
            </w:pPr>
            <w:r w:rsidRPr="0074017C">
              <w:t>227,51</w:t>
            </w:r>
          </w:p>
        </w:tc>
      </w:tr>
      <w:tr w:rsidR="00107F4E" w:rsidRPr="0074017C" w:rsidTr="00107F4E">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Bulgaria</w:t>
            </w:r>
          </w:p>
        </w:tc>
        <w:tc>
          <w:tcPr>
            <w:tcW w:w="3192" w:type="dxa"/>
            <w:vMerge/>
            <w:shd w:val="clear" w:color="auto" w:fill="D9D9D9" w:themeFill="background1" w:themeFillShade="D9"/>
            <w:noWrap/>
            <w:vAlign w:val="center"/>
            <w:hideMark/>
          </w:tcPr>
          <w:p w:rsidR="00107F4E" w:rsidRPr="0074017C" w:rsidRDefault="00107F4E" w:rsidP="00107F4E">
            <w:pPr>
              <w:rPr>
                <w:b/>
              </w:rPr>
            </w:pPr>
          </w:p>
        </w:tc>
        <w:tc>
          <w:tcPr>
            <w:tcW w:w="1233" w:type="dxa"/>
            <w:shd w:val="clear" w:color="auto" w:fill="D9D9D9" w:themeFill="background1" w:themeFillShade="D9"/>
            <w:noWrap/>
            <w:hideMark/>
          </w:tcPr>
          <w:p w:rsidR="00107F4E" w:rsidRPr="0074017C" w:rsidRDefault="00107F4E" w:rsidP="003003B8">
            <w:pPr>
              <w:jc w:val="both"/>
            </w:pPr>
            <w:r w:rsidRPr="0074017C">
              <w:t>462,75</w:t>
            </w:r>
          </w:p>
        </w:tc>
        <w:tc>
          <w:tcPr>
            <w:tcW w:w="1233" w:type="dxa"/>
            <w:shd w:val="clear" w:color="auto" w:fill="D9D9D9" w:themeFill="background1" w:themeFillShade="D9"/>
            <w:noWrap/>
            <w:hideMark/>
          </w:tcPr>
          <w:p w:rsidR="00107F4E" w:rsidRPr="0074017C" w:rsidRDefault="00107F4E" w:rsidP="003003B8">
            <w:pPr>
              <w:jc w:val="both"/>
            </w:pPr>
            <w:r w:rsidRPr="0074017C">
              <w:t>480,19</w:t>
            </w:r>
          </w:p>
        </w:tc>
        <w:tc>
          <w:tcPr>
            <w:tcW w:w="1233" w:type="dxa"/>
            <w:shd w:val="clear" w:color="auto" w:fill="D9D9D9" w:themeFill="background1" w:themeFillShade="D9"/>
            <w:noWrap/>
            <w:hideMark/>
          </w:tcPr>
          <w:p w:rsidR="00107F4E" w:rsidRPr="0074017C" w:rsidRDefault="00107F4E" w:rsidP="003003B8">
            <w:pPr>
              <w:jc w:val="both"/>
            </w:pPr>
            <w:r w:rsidRPr="0074017C">
              <w:t>521,53</w:t>
            </w:r>
          </w:p>
        </w:tc>
        <w:tc>
          <w:tcPr>
            <w:tcW w:w="1233" w:type="dxa"/>
            <w:shd w:val="clear" w:color="auto" w:fill="D9D9D9" w:themeFill="background1" w:themeFillShade="D9"/>
            <w:noWrap/>
            <w:hideMark/>
          </w:tcPr>
          <w:p w:rsidR="00107F4E" w:rsidRPr="0074017C" w:rsidRDefault="00107F4E" w:rsidP="003003B8">
            <w:pPr>
              <w:jc w:val="both"/>
            </w:pPr>
            <w:r w:rsidRPr="0074017C">
              <w:t>515,53</w:t>
            </w:r>
          </w:p>
        </w:tc>
      </w:tr>
      <w:tr w:rsidR="00107F4E" w:rsidRPr="0074017C" w:rsidTr="00107F4E">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Croatia</w:t>
            </w:r>
          </w:p>
        </w:tc>
        <w:tc>
          <w:tcPr>
            <w:tcW w:w="3192" w:type="dxa"/>
            <w:vMerge/>
            <w:shd w:val="clear" w:color="auto" w:fill="D9D9D9" w:themeFill="background1" w:themeFillShade="D9"/>
            <w:noWrap/>
            <w:vAlign w:val="center"/>
            <w:hideMark/>
          </w:tcPr>
          <w:p w:rsidR="00107F4E" w:rsidRPr="0074017C" w:rsidRDefault="00107F4E" w:rsidP="00107F4E">
            <w:pPr>
              <w:rPr>
                <w:b/>
              </w:rPr>
            </w:pPr>
          </w:p>
        </w:tc>
        <w:tc>
          <w:tcPr>
            <w:tcW w:w="1233" w:type="dxa"/>
            <w:shd w:val="clear" w:color="auto" w:fill="D9D9D9" w:themeFill="background1" w:themeFillShade="D9"/>
            <w:noWrap/>
            <w:hideMark/>
          </w:tcPr>
          <w:p w:rsidR="00107F4E" w:rsidRPr="0074017C" w:rsidRDefault="00107F4E" w:rsidP="003003B8">
            <w:pPr>
              <w:jc w:val="both"/>
            </w:pPr>
            <w:r w:rsidRPr="0074017C">
              <w:t>1.095,20</w:t>
            </w:r>
          </w:p>
        </w:tc>
        <w:tc>
          <w:tcPr>
            <w:tcW w:w="1233" w:type="dxa"/>
            <w:shd w:val="clear" w:color="auto" w:fill="D9D9D9" w:themeFill="background1" w:themeFillShade="D9"/>
            <w:noWrap/>
            <w:hideMark/>
          </w:tcPr>
          <w:p w:rsidR="00107F4E" w:rsidRPr="0074017C" w:rsidRDefault="00107F4E" w:rsidP="003003B8">
            <w:pPr>
              <w:jc w:val="both"/>
            </w:pPr>
            <w:r w:rsidRPr="0074017C">
              <w:t>1.050,69</w:t>
            </w:r>
          </w:p>
        </w:tc>
        <w:tc>
          <w:tcPr>
            <w:tcW w:w="1233" w:type="dxa"/>
            <w:shd w:val="clear" w:color="auto" w:fill="D9D9D9" w:themeFill="background1" w:themeFillShade="D9"/>
            <w:noWrap/>
            <w:hideMark/>
          </w:tcPr>
          <w:p w:rsidR="00107F4E" w:rsidRPr="0074017C" w:rsidRDefault="00107F4E" w:rsidP="003003B8">
            <w:pPr>
              <w:jc w:val="both"/>
            </w:pPr>
            <w:r w:rsidRPr="0074017C">
              <w:t>991,82</w:t>
            </w:r>
          </w:p>
        </w:tc>
        <w:tc>
          <w:tcPr>
            <w:tcW w:w="1233" w:type="dxa"/>
            <w:shd w:val="clear" w:color="auto" w:fill="D9D9D9" w:themeFill="background1" w:themeFillShade="D9"/>
            <w:noWrap/>
            <w:hideMark/>
          </w:tcPr>
          <w:p w:rsidR="00107F4E" w:rsidRPr="0074017C" w:rsidRDefault="00107F4E" w:rsidP="003003B8">
            <w:pPr>
              <w:jc w:val="both"/>
            </w:pPr>
            <w:r w:rsidRPr="0074017C">
              <w:t>908,31</w:t>
            </w:r>
          </w:p>
        </w:tc>
      </w:tr>
      <w:tr w:rsidR="00107F4E" w:rsidRPr="0074017C" w:rsidTr="00107F4E">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Serbia</w:t>
            </w:r>
          </w:p>
        </w:tc>
        <w:tc>
          <w:tcPr>
            <w:tcW w:w="3192" w:type="dxa"/>
            <w:vMerge/>
            <w:shd w:val="clear" w:color="auto" w:fill="D9D9D9" w:themeFill="background1" w:themeFillShade="D9"/>
            <w:noWrap/>
            <w:vAlign w:val="center"/>
            <w:hideMark/>
          </w:tcPr>
          <w:p w:rsidR="00107F4E" w:rsidRPr="0074017C" w:rsidRDefault="00107F4E" w:rsidP="00107F4E">
            <w:pPr>
              <w:rPr>
                <w:b/>
              </w:rPr>
            </w:pPr>
          </w:p>
        </w:tc>
        <w:tc>
          <w:tcPr>
            <w:tcW w:w="1233" w:type="dxa"/>
            <w:shd w:val="clear" w:color="auto" w:fill="D9D9D9" w:themeFill="background1" w:themeFillShade="D9"/>
            <w:noWrap/>
            <w:hideMark/>
          </w:tcPr>
          <w:p w:rsidR="00107F4E" w:rsidRPr="0074017C" w:rsidRDefault="00107F4E" w:rsidP="003003B8">
            <w:pPr>
              <w:jc w:val="both"/>
            </w:pPr>
            <w:r w:rsidRPr="0074017C">
              <w:t>576,51</w:t>
            </w:r>
          </w:p>
        </w:tc>
        <w:tc>
          <w:tcPr>
            <w:tcW w:w="1233" w:type="dxa"/>
            <w:shd w:val="clear" w:color="auto" w:fill="D9D9D9" w:themeFill="background1" w:themeFillShade="D9"/>
            <w:noWrap/>
            <w:hideMark/>
          </w:tcPr>
          <w:p w:rsidR="00107F4E" w:rsidRPr="0074017C" w:rsidRDefault="00107F4E" w:rsidP="003003B8">
            <w:pPr>
              <w:jc w:val="both"/>
            </w:pPr>
            <w:r w:rsidRPr="0074017C">
              <w:t>546,03</w:t>
            </w:r>
          </w:p>
        </w:tc>
        <w:tc>
          <w:tcPr>
            <w:tcW w:w="1233" w:type="dxa"/>
            <w:shd w:val="clear" w:color="auto" w:fill="D9D9D9" w:themeFill="background1" w:themeFillShade="D9"/>
            <w:noWrap/>
            <w:hideMark/>
          </w:tcPr>
          <w:p w:rsidR="00107F4E" w:rsidRPr="0074017C" w:rsidRDefault="00107F4E" w:rsidP="003003B8">
            <w:pPr>
              <w:jc w:val="both"/>
            </w:pPr>
            <w:r w:rsidRPr="0074017C">
              <w:t>622,45</w:t>
            </w:r>
          </w:p>
        </w:tc>
        <w:tc>
          <w:tcPr>
            <w:tcW w:w="1233" w:type="dxa"/>
            <w:shd w:val="clear" w:color="auto" w:fill="D9D9D9" w:themeFill="background1" w:themeFillShade="D9"/>
            <w:noWrap/>
            <w:hideMark/>
          </w:tcPr>
          <w:p w:rsidR="00107F4E" w:rsidRPr="0074017C" w:rsidRDefault="00107F4E" w:rsidP="003003B8">
            <w:pPr>
              <w:jc w:val="both"/>
            </w:pPr>
            <w:r w:rsidRPr="0074017C">
              <w:t>561,14</w:t>
            </w:r>
          </w:p>
        </w:tc>
      </w:tr>
      <w:tr w:rsidR="00107F4E" w:rsidRPr="0074017C" w:rsidTr="00107F4E">
        <w:trPr>
          <w:trHeight w:val="290"/>
        </w:trPr>
        <w:tc>
          <w:tcPr>
            <w:tcW w:w="1452" w:type="dxa"/>
            <w:noWrap/>
            <w:hideMark/>
          </w:tcPr>
          <w:p w:rsidR="00107F4E" w:rsidRPr="0074017C" w:rsidRDefault="00107F4E" w:rsidP="003003B8">
            <w:pPr>
              <w:jc w:val="both"/>
              <w:rPr>
                <w:b/>
              </w:rPr>
            </w:pPr>
            <w:r w:rsidRPr="0074017C">
              <w:rPr>
                <w:b/>
              </w:rPr>
              <w:t>Albania</w:t>
            </w:r>
          </w:p>
        </w:tc>
        <w:tc>
          <w:tcPr>
            <w:tcW w:w="3192" w:type="dxa"/>
            <w:vMerge w:val="restart"/>
            <w:noWrap/>
            <w:vAlign w:val="center"/>
            <w:hideMark/>
          </w:tcPr>
          <w:p w:rsidR="00107F4E" w:rsidRPr="0074017C" w:rsidRDefault="00107F4E" w:rsidP="00107F4E">
            <w:pPr>
              <w:rPr>
                <w:b/>
              </w:rPr>
            </w:pPr>
            <w:r w:rsidRPr="0074017C">
              <w:rPr>
                <w:b/>
              </w:rPr>
              <w:t>Health expenditure, private (% of total health expenditure)</w:t>
            </w:r>
          </w:p>
        </w:tc>
        <w:tc>
          <w:tcPr>
            <w:tcW w:w="1233" w:type="dxa"/>
            <w:noWrap/>
            <w:hideMark/>
          </w:tcPr>
          <w:p w:rsidR="00107F4E" w:rsidRPr="0074017C" w:rsidRDefault="00107F4E" w:rsidP="003003B8">
            <w:pPr>
              <w:jc w:val="both"/>
            </w:pPr>
            <w:r w:rsidRPr="0074017C">
              <w:t>52,91</w:t>
            </w:r>
          </w:p>
        </w:tc>
        <w:tc>
          <w:tcPr>
            <w:tcW w:w="1233" w:type="dxa"/>
            <w:noWrap/>
            <w:hideMark/>
          </w:tcPr>
          <w:p w:rsidR="00107F4E" w:rsidRPr="0074017C" w:rsidRDefault="00107F4E" w:rsidP="003003B8">
            <w:pPr>
              <w:jc w:val="both"/>
            </w:pPr>
            <w:r w:rsidRPr="0074017C">
              <w:t>54,61</w:t>
            </w:r>
          </w:p>
        </w:tc>
        <w:tc>
          <w:tcPr>
            <w:tcW w:w="1233" w:type="dxa"/>
            <w:noWrap/>
            <w:hideMark/>
          </w:tcPr>
          <w:p w:rsidR="00107F4E" w:rsidRPr="0074017C" w:rsidRDefault="00107F4E" w:rsidP="003003B8">
            <w:pPr>
              <w:jc w:val="both"/>
            </w:pPr>
            <w:r w:rsidRPr="0074017C">
              <w:t>52,06</w:t>
            </w:r>
          </w:p>
        </w:tc>
        <w:tc>
          <w:tcPr>
            <w:tcW w:w="1233" w:type="dxa"/>
            <w:noWrap/>
            <w:hideMark/>
          </w:tcPr>
          <w:p w:rsidR="00107F4E" w:rsidRPr="0074017C" w:rsidRDefault="00107F4E" w:rsidP="003003B8">
            <w:pPr>
              <w:jc w:val="both"/>
            </w:pPr>
            <w:r w:rsidRPr="0074017C">
              <w:t>52,40</w:t>
            </w:r>
          </w:p>
        </w:tc>
      </w:tr>
      <w:tr w:rsidR="00107F4E" w:rsidRPr="0074017C" w:rsidTr="00107F4E">
        <w:trPr>
          <w:trHeight w:val="290"/>
        </w:trPr>
        <w:tc>
          <w:tcPr>
            <w:tcW w:w="1452" w:type="dxa"/>
            <w:noWrap/>
            <w:hideMark/>
          </w:tcPr>
          <w:p w:rsidR="00107F4E" w:rsidRPr="0074017C" w:rsidRDefault="00107F4E" w:rsidP="003003B8">
            <w:pPr>
              <w:jc w:val="both"/>
              <w:rPr>
                <w:b/>
              </w:rPr>
            </w:pPr>
            <w:r w:rsidRPr="0074017C">
              <w:rPr>
                <w:b/>
              </w:rPr>
              <w:t>Bulgaria</w:t>
            </w:r>
          </w:p>
        </w:tc>
        <w:tc>
          <w:tcPr>
            <w:tcW w:w="3192" w:type="dxa"/>
            <w:vMerge/>
            <w:noWrap/>
            <w:vAlign w:val="center"/>
            <w:hideMark/>
          </w:tcPr>
          <w:p w:rsidR="00107F4E" w:rsidRPr="0074017C" w:rsidRDefault="00107F4E" w:rsidP="00107F4E">
            <w:pPr>
              <w:rPr>
                <w:b/>
              </w:rPr>
            </w:pPr>
          </w:p>
        </w:tc>
        <w:tc>
          <w:tcPr>
            <w:tcW w:w="1233" w:type="dxa"/>
            <w:noWrap/>
            <w:hideMark/>
          </w:tcPr>
          <w:p w:rsidR="00107F4E" w:rsidRPr="0074017C" w:rsidRDefault="00107F4E" w:rsidP="003003B8">
            <w:pPr>
              <w:jc w:val="both"/>
            </w:pPr>
            <w:r w:rsidRPr="0074017C">
              <w:t>44,65</w:t>
            </w:r>
          </w:p>
        </w:tc>
        <w:tc>
          <w:tcPr>
            <w:tcW w:w="1233" w:type="dxa"/>
            <w:noWrap/>
            <w:hideMark/>
          </w:tcPr>
          <w:p w:rsidR="00107F4E" w:rsidRPr="0074017C" w:rsidRDefault="00107F4E" w:rsidP="003003B8">
            <w:pPr>
              <w:jc w:val="both"/>
            </w:pPr>
            <w:r w:rsidRPr="0074017C">
              <w:t>44,31</w:t>
            </w:r>
          </w:p>
        </w:tc>
        <w:tc>
          <w:tcPr>
            <w:tcW w:w="1233" w:type="dxa"/>
            <w:noWrap/>
            <w:hideMark/>
          </w:tcPr>
          <w:p w:rsidR="00107F4E" w:rsidRPr="0074017C" w:rsidRDefault="00107F4E" w:rsidP="003003B8">
            <w:pPr>
              <w:jc w:val="both"/>
            </w:pPr>
            <w:r w:rsidRPr="0074017C">
              <w:t>44,69</w:t>
            </w:r>
          </w:p>
        </w:tc>
        <w:tc>
          <w:tcPr>
            <w:tcW w:w="1233" w:type="dxa"/>
            <w:noWrap/>
            <w:hideMark/>
          </w:tcPr>
          <w:p w:rsidR="00107F4E" w:rsidRPr="0074017C" w:rsidRDefault="00107F4E" w:rsidP="003003B8">
            <w:pPr>
              <w:jc w:val="both"/>
            </w:pPr>
            <w:r w:rsidRPr="0074017C">
              <w:t>43,71</w:t>
            </w:r>
          </w:p>
        </w:tc>
      </w:tr>
      <w:tr w:rsidR="00107F4E" w:rsidRPr="0074017C" w:rsidTr="00107F4E">
        <w:trPr>
          <w:trHeight w:val="290"/>
        </w:trPr>
        <w:tc>
          <w:tcPr>
            <w:tcW w:w="1452" w:type="dxa"/>
            <w:noWrap/>
            <w:hideMark/>
          </w:tcPr>
          <w:p w:rsidR="00107F4E" w:rsidRPr="0074017C" w:rsidRDefault="00107F4E" w:rsidP="003003B8">
            <w:pPr>
              <w:jc w:val="both"/>
              <w:rPr>
                <w:b/>
              </w:rPr>
            </w:pPr>
            <w:r w:rsidRPr="0074017C">
              <w:rPr>
                <w:b/>
              </w:rPr>
              <w:t>Croatia</w:t>
            </w:r>
          </w:p>
        </w:tc>
        <w:tc>
          <w:tcPr>
            <w:tcW w:w="3192" w:type="dxa"/>
            <w:vMerge/>
            <w:noWrap/>
            <w:vAlign w:val="center"/>
            <w:hideMark/>
          </w:tcPr>
          <w:p w:rsidR="00107F4E" w:rsidRPr="0074017C" w:rsidRDefault="00107F4E" w:rsidP="00107F4E">
            <w:pPr>
              <w:rPr>
                <w:b/>
              </w:rPr>
            </w:pPr>
          </w:p>
        </w:tc>
        <w:tc>
          <w:tcPr>
            <w:tcW w:w="1233" w:type="dxa"/>
            <w:noWrap/>
            <w:hideMark/>
          </w:tcPr>
          <w:p w:rsidR="00107F4E" w:rsidRPr="0074017C" w:rsidRDefault="00107F4E" w:rsidP="003003B8">
            <w:pPr>
              <w:jc w:val="both"/>
            </w:pPr>
            <w:r w:rsidRPr="0074017C">
              <w:t>15,11</w:t>
            </w:r>
          </w:p>
        </w:tc>
        <w:tc>
          <w:tcPr>
            <w:tcW w:w="1233" w:type="dxa"/>
            <w:noWrap/>
            <w:hideMark/>
          </w:tcPr>
          <w:p w:rsidR="00107F4E" w:rsidRPr="0074017C" w:rsidRDefault="00107F4E" w:rsidP="003003B8">
            <w:pPr>
              <w:jc w:val="both"/>
            </w:pPr>
            <w:r w:rsidRPr="0074017C">
              <w:t>15,20</w:t>
            </w:r>
          </w:p>
        </w:tc>
        <w:tc>
          <w:tcPr>
            <w:tcW w:w="1233" w:type="dxa"/>
            <w:noWrap/>
            <w:hideMark/>
          </w:tcPr>
          <w:p w:rsidR="00107F4E" w:rsidRPr="0074017C" w:rsidRDefault="00107F4E" w:rsidP="003003B8">
            <w:pPr>
              <w:jc w:val="both"/>
            </w:pPr>
            <w:r w:rsidRPr="0074017C">
              <w:t>17,51</w:t>
            </w:r>
          </w:p>
        </w:tc>
        <w:tc>
          <w:tcPr>
            <w:tcW w:w="1233" w:type="dxa"/>
            <w:noWrap/>
            <w:hideMark/>
          </w:tcPr>
          <w:p w:rsidR="00107F4E" w:rsidRPr="0074017C" w:rsidRDefault="00107F4E" w:rsidP="003003B8">
            <w:pPr>
              <w:jc w:val="both"/>
            </w:pPr>
            <w:r w:rsidRPr="0074017C">
              <w:t>17,68</w:t>
            </w:r>
          </w:p>
        </w:tc>
      </w:tr>
      <w:tr w:rsidR="00107F4E" w:rsidRPr="0074017C" w:rsidTr="00107F4E">
        <w:trPr>
          <w:trHeight w:val="290"/>
        </w:trPr>
        <w:tc>
          <w:tcPr>
            <w:tcW w:w="1452" w:type="dxa"/>
            <w:noWrap/>
            <w:hideMark/>
          </w:tcPr>
          <w:p w:rsidR="00107F4E" w:rsidRPr="0074017C" w:rsidRDefault="00107F4E" w:rsidP="003003B8">
            <w:pPr>
              <w:jc w:val="both"/>
              <w:rPr>
                <w:b/>
              </w:rPr>
            </w:pPr>
            <w:r w:rsidRPr="0074017C">
              <w:rPr>
                <w:b/>
              </w:rPr>
              <w:t>Serbia</w:t>
            </w:r>
          </w:p>
        </w:tc>
        <w:tc>
          <w:tcPr>
            <w:tcW w:w="3192" w:type="dxa"/>
            <w:vMerge/>
            <w:noWrap/>
            <w:vAlign w:val="center"/>
            <w:hideMark/>
          </w:tcPr>
          <w:p w:rsidR="00107F4E" w:rsidRPr="0074017C" w:rsidRDefault="00107F4E" w:rsidP="00107F4E">
            <w:pPr>
              <w:rPr>
                <w:b/>
              </w:rPr>
            </w:pPr>
          </w:p>
        </w:tc>
        <w:tc>
          <w:tcPr>
            <w:tcW w:w="1233" w:type="dxa"/>
            <w:noWrap/>
            <w:hideMark/>
          </w:tcPr>
          <w:p w:rsidR="00107F4E" w:rsidRPr="0074017C" w:rsidRDefault="00107F4E" w:rsidP="003003B8">
            <w:pPr>
              <w:jc w:val="both"/>
            </w:pPr>
            <w:r w:rsidRPr="0074017C">
              <w:t>38,14</w:t>
            </w:r>
          </w:p>
        </w:tc>
        <w:tc>
          <w:tcPr>
            <w:tcW w:w="1233" w:type="dxa"/>
            <w:noWrap/>
            <w:hideMark/>
          </w:tcPr>
          <w:p w:rsidR="00107F4E" w:rsidRPr="0074017C" w:rsidRDefault="00107F4E" w:rsidP="003003B8">
            <w:pPr>
              <w:jc w:val="both"/>
            </w:pPr>
            <w:r w:rsidRPr="0074017C">
              <w:t>38,13</w:t>
            </w:r>
          </w:p>
        </w:tc>
        <w:tc>
          <w:tcPr>
            <w:tcW w:w="1233" w:type="dxa"/>
            <w:noWrap/>
            <w:hideMark/>
          </w:tcPr>
          <w:p w:rsidR="00107F4E" w:rsidRPr="0074017C" w:rsidRDefault="00107F4E" w:rsidP="003003B8">
            <w:pPr>
              <w:jc w:val="both"/>
            </w:pPr>
            <w:r w:rsidRPr="0074017C">
              <w:t>37,89</w:t>
            </w:r>
          </w:p>
        </w:tc>
        <w:tc>
          <w:tcPr>
            <w:tcW w:w="1233" w:type="dxa"/>
            <w:noWrap/>
            <w:hideMark/>
          </w:tcPr>
          <w:p w:rsidR="00107F4E" w:rsidRPr="0074017C" w:rsidRDefault="00107F4E" w:rsidP="003003B8">
            <w:pPr>
              <w:jc w:val="both"/>
            </w:pPr>
            <w:r w:rsidRPr="0074017C">
              <w:t>38,84</w:t>
            </w:r>
          </w:p>
        </w:tc>
      </w:tr>
      <w:tr w:rsidR="00107F4E" w:rsidRPr="0074017C" w:rsidTr="00107F4E">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Albania</w:t>
            </w:r>
          </w:p>
        </w:tc>
        <w:tc>
          <w:tcPr>
            <w:tcW w:w="3192" w:type="dxa"/>
            <w:vMerge w:val="restart"/>
            <w:shd w:val="clear" w:color="auto" w:fill="D9D9D9" w:themeFill="background1" w:themeFillShade="D9"/>
            <w:noWrap/>
            <w:vAlign w:val="center"/>
            <w:hideMark/>
          </w:tcPr>
          <w:p w:rsidR="00107F4E" w:rsidRPr="0074017C" w:rsidRDefault="00107F4E" w:rsidP="00107F4E">
            <w:pPr>
              <w:rPr>
                <w:b/>
              </w:rPr>
            </w:pPr>
            <w:r w:rsidRPr="0074017C">
              <w:rPr>
                <w:b/>
              </w:rPr>
              <w:t>Health expenditure, public (% of government expenditure)</w:t>
            </w:r>
          </w:p>
        </w:tc>
        <w:tc>
          <w:tcPr>
            <w:tcW w:w="1233" w:type="dxa"/>
            <w:shd w:val="clear" w:color="auto" w:fill="D9D9D9" w:themeFill="background1" w:themeFillShade="D9"/>
            <w:noWrap/>
            <w:hideMark/>
          </w:tcPr>
          <w:p w:rsidR="00107F4E" w:rsidRPr="0074017C" w:rsidRDefault="00107F4E" w:rsidP="003003B8">
            <w:pPr>
              <w:jc w:val="both"/>
            </w:pPr>
            <w:r w:rsidRPr="0074017C">
              <w:t>8,46</w:t>
            </w:r>
          </w:p>
        </w:tc>
        <w:tc>
          <w:tcPr>
            <w:tcW w:w="1233" w:type="dxa"/>
            <w:shd w:val="clear" w:color="auto" w:fill="D9D9D9" w:themeFill="background1" w:themeFillShade="D9"/>
            <w:noWrap/>
            <w:hideMark/>
          </w:tcPr>
          <w:p w:rsidR="00107F4E" w:rsidRPr="0074017C" w:rsidRDefault="00107F4E" w:rsidP="003003B8">
            <w:pPr>
              <w:jc w:val="both"/>
            </w:pPr>
            <w:r w:rsidRPr="0074017C">
              <w:t>8,46</w:t>
            </w:r>
          </w:p>
        </w:tc>
        <w:tc>
          <w:tcPr>
            <w:tcW w:w="1233" w:type="dxa"/>
            <w:shd w:val="clear" w:color="auto" w:fill="D9D9D9" w:themeFill="background1" w:themeFillShade="D9"/>
            <w:noWrap/>
            <w:hideMark/>
          </w:tcPr>
          <w:p w:rsidR="00107F4E" w:rsidRPr="0074017C" w:rsidRDefault="00107F4E" w:rsidP="003003B8">
            <w:pPr>
              <w:jc w:val="both"/>
            </w:pPr>
            <w:r w:rsidRPr="0074017C">
              <w:t>9,85</w:t>
            </w:r>
          </w:p>
        </w:tc>
        <w:tc>
          <w:tcPr>
            <w:tcW w:w="1233" w:type="dxa"/>
            <w:shd w:val="clear" w:color="auto" w:fill="D9D9D9" w:themeFill="background1" w:themeFillShade="D9"/>
            <w:noWrap/>
            <w:hideMark/>
          </w:tcPr>
          <w:p w:rsidR="00107F4E" w:rsidRPr="0074017C" w:rsidRDefault="00107F4E" w:rsidP="003003B8">
            <w:pPr>
              <w:jc w:val="both"/>
            </w:pPr>
            <w:r w:rsidRPr="0074017C">
              <w:t>9,85</w:t>
            </w:r>
          </w:p>
        </w:tc>
      </w:tr>
      <w:tr w:rsidR="00107F4E" w:rsidRPr="0074017C" w:rsidTr="009C6D5F">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Bulgaria</w:t>
            </w:r>
          </w:p>
        </w:tc>
        <w:tc>
          <w:tcPr>
            <w:tcW w:w="3192" w:type="dxa"/>
            <w:vMerge/>
            <w:shd w:val="clear" w:color="auto" w:fill="D9D9D9" w:themeFill="background1" w:themeFillShade="D9"/>
            <w:noWrap/>
            <w:hideMark/>
          </w:tcPr>
          <w:p w:rsidR="00107F4E" w:rsidRPr="0074017C" w:rsidRDefault="00107F4E" w:rsidP="003003B8">
            <w:pPr>
              <w:jc w:val="both"/>
              <w:rPr>
                <w:b/>
              </w:rPr>
            </w:pPr>
          </w:p>
        </w:tc>
        <w:tc>
          <w:tcPr>
            <w:tcW w:w="1233" w:type="dxa"/>
            <w:shd w:val="clear" w:color="auto" w:fill="D9D9D9" w:themeFill="background1" w:themeFillShade="D9"/>
            <w:noWrap/>
            <w:hideMark/>
          </w:tcPr>
          <w:p w:rsidR="00107F4E" w:rsidRPr="0074017C" w:rsidRDefault="00107F4E" w:rsidP="003003B8">
            <w:pPr>
              <w:jc w:val="both"/>
            </w:pPr>
            <w:r w:rsidRPr="0074017C">
              <w:t>9,65</w:t>
            </w:r>
          </w:p>
        </w:tc>
        <w:tc>
          <w:tcPr>
            <w:tcW w:w="1233" w:type="dxa"/>
            <w:shd w:val="clear" w:color="auto" w:fill="D9D9D9" w:themeFill="background1" w:themeFillShade="D9"/>
            <w:noWrap/>
            <w:hideMark/>
          </w:tcPr>
          <w:p w:rsidR="00107F4E" w:rsidRPr="0074017C" w:rsidRDefault="00107F4E" w:rsidP="003003B8">
            <w:pPr>
              <w:jc w:val="both"/>
            </w:pPr>
            <w:r w:rsidRPr="0074017C">
              <w:t>11,28</w:t>
            </w:r>
          </w:p>
        </w:tc>
        <w:tc>
          <w:tcPr>
            <w:tcW w:w="1233" w:type="dxa"/>
            <w:shd w:val="clear" w:color="auto" w:fill="D9D9D9" w:themeFill="background1" w:themeFillShade="D9"/>
            <w:noWrap/>
            <w:hideMark/>
          </w:tcPr>
          <w:p w:rsidR="00107F4E" w:rsidRPr="0074017C" w:rsidRDefault="00107F4E" w:rsidP="003003B8">
            <w:pPr>
              <w:jc w:val="both"/>
            </w:pPr>
            <w:r w:rsidRPr="0074017C">
              <w:t>11,28</w:t>
            </w:r>
          </w:p>
        </w:tc>
        <w:tc>
          <w:tcPr>
            <w:tcW w:w="1233" w:type="dxa"/>
            <w:shd w:val="clear" w:color="auto" w:fill="D9D9D9" w:themeFill="background1" w:themeFillShade="D9"/>
            <w:noWrap/>
            <w:hideMark/>
          </w:tcPr>
          <w:p w:rsidR="00107F4E" w:rsidRPr="0074017C" w:rsidRDefault="00107F4E" w:rsidP="003003B8">
            <w:pPr>
              <w:jc w:val="both"/>
            </w:pPr>
            <w:r w:rsidRPr="0074017C">
              <w:t>11,76</w:t>
            </w:r>
          </w:p>
        </w:tc>
      </w:tr>
      <w:tr w:rsidR="00107F4E" w:rsidRPr="0074017C" w:rsidTr="009C6D5F">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Croatia</w:t>
            </w:r>
          </w:p>
        </w:tc>
        <w:tc>
          <w:tcPr>
            <w:tcW w:w="3192" w:type="dxa"/>
            <w:vMerge/>
            <w:shd w:val="clear" w:color="auto" w:fill="D9D9D9" w:themeFill="background1" w:themeFillShade="D9"/>
            <w:noWrap/>
            <w:hideMark/>
          </w:tcPr>
          <w:p w:rsidR="00107F4E" w:rsidRPr="0074017C" w:rsidRDefault="00107F4E" w:rsidP="003003B8">
            <w:pPr>
              <w:jc w:val="both"/>
              <w:rPr>
                <w:b/>
              </w:rPr>
            </w:pPr>
          </w:p>
        </w:tc>
        <w:tc>
          <w:tcPr>
            <w:tcW w:w="1233" w:type="dxa"/>
            <w:shd w:val="clear" w:color="auto" w:fill="D9D9D9" w:themeFill="background1" w:themeFillShade="D9"/>
            <w:noWrap/>
            <w:hideMark/>
          </w:tcPr>
          <w:p w:rsidR="00107F4E" w:rsidRPr="0074017C" w:rsidRDefault="00107F4E" w:rsidP="003003B8">
            <w:pPr>
              <w:jc w:val="both"/>
            </w:pPr>
            <w:r w:rsidRPr="0074017C">
              <w:t>17,74</w:t>
            </w:r>
          </w:p>
        </w:tc>
        <w:tc>
          <w:tcPr>
            <w:tcW w:w="1233" w:type="dxa"/>
            <w:shd w:val="clear" w:color="auto" w:fill="D9D9D9" w:themeFill="background1" w:themeFillShade="D9"/>
            <w:noWrap/>
            <w:hideMark/>
          </w:tcPr>
          <w:p w:rsidR="00107F4E" w:rsidRPr="0074017C" w:rsidRDefault="00107F4E" w:rsidP="003003B8">
            <w:pPr>
              <w:jc w:val="both"/>
            </w:pPr>
            <w:r w:rsidRPr="0074017C">
              <w:t>17,74</w:t>
            </w:r>
          </w:p>
        </w:tc>
        <w:tc>
          <w:tcPr>
            <w:tcW w:w="1233" w:type="dxa"/>
            <w:shd w:val="clear" w:color="auto" w:fill="D9D9D9" w:themeFill="background1" w:themeFillShade="D9"/>
            <w:noWrap/>
            <w:hideMark/>
          </w:tcPr>
          <w:p w:rsidR="00107F4E" w:rsidRPr="0074017C" w:rsidRDefault="00107F4E" w:rsidP="003003B8">
            <w:pPr>
              <w:jc w:val="both"/>
            </w:pPr>
            <w:r w:rsidRPr="0074017C">
              <w:t>15,05</w:t>
            </w:r>
          </w:p>
        </w:tc>
        <w:tc>
          <w:tcPr>
            <w:tcW w:w="1233" w:type="dxa"/>
            <w:shd w:val="clear" w:color="auto" w:fill="D9D9D9" w:themeFill="background1" w:themeFillShade="D9"/>
            <w:noWrap/>
            <w:hideMark/>
          </w:tcPr>
          <w:p w:rsidR="00107F4E" w:rsidRPr="0074017C" w:rsidRDefault="00107F4E" w:rsidP="003003B8">
            <w:pPr>
              <w:jc w:val="both"/>
            </w:pPr>
            <w:r w:rsidRPr="0074017C">
              <w:t>15,05</w:t>
            </w:r>
          </w:p>
        </w:tc>
      </w:tr>
      <w:tr w:rsidR="00107F4E" w:rsidRPr="0074017C" w:rsidTr="009C6D5F">
        <w:trPr>
          <w:trHeight w:val="290"/>
        </w:trPr>
        <w:tc>
          <w:tcPr>
            <w:tcW w:w="1452" w:type="dxa"/>
            <w:shd w:val="clear" w:color="auto" w:fill="D9D9D9" w:themeFill="background1" w:themeFillShade="D9"/>
            <w:noWrap/>
            <w:hideMark/>
          </w:tcPr>
          <w:p w:rsidR="00107F4E" w:rsidRPr="0074017C" w:rsidRDefault="00107F4E" w:rsidP="003003B8">
            <w:pPr>
              <w:jc w:val="both"/>
              <w:rPr>
                <w:b/>
              </w:rPr>
            </w:pPr>
            <w:r w:rsidRPr="0074017C">
              <w:rPr>
                <w:b/>
              </w:rPr>
              <w:t>Serbia</w:t>
            </w:r>
          </w:p>
        </w:tc>
        <w:tc>
          <w:tcPr>
            <w:tcW w:w="3192" w:type="dxa"/>
            <w:vMerge/>
            <w:shd w:val="clear" w:color="auto" w:fill="D9D9D9" w:themeFill="background1" w:themeFillShade="D9"/>
            <w:noWrap/>
            <w:hideMark/>
          </w:tcPr>
          <w:p w:rsidR="00107F4E" w:rsidRPr="0074017C" w:rsidRDefault="00107F4E" w:rsidP="003003B8">
            <w:pPr>
              <w:jc w:val="both"/>
              <w:rPr>
                <w:b/>
              </w:rPr>
            </w:pPr>
          </w:p>
        </w:tc>
        <w:tc>
          <w:tcPr>
            <w:tcW w:w="1233" w:type="dxa"/>
            <w:shd w:val="clear" w:color="auto" w:fill="D9D9D9" w:themeFill="background1" w:themeFillShade="D9"/>
            <w:noWrap/>
            <w:hideMark/>
          </w:tcPr>
          <w:p w:rsidR="00107F4E" w:rsidRPr="0074017C" w:rsidRDefault="00107F4E" w:rsidP="003003B8">
            <w:pPr>
              <w:jc w:val="both"/>
            </w:pPr>
            <w:r w:rsidRPr="0074017C">
              <w:t>13,92</w:t>
            </w:r>
          </w:p>
        </w:tc>
        <w:tc>
          <w:tcPr>
            <w:tcW w:w="1233" w:type="dxa"/>
            <w:shd w:val="clear" w:color="auto" w:fill="D9D9D9" w:themeFill="background1" w:themeFillShade="D9"/>
            <w:noWrap/>
            <w:hideMark/>
          </w:tcPr>
          <w:p w:rsidR="00107F4E" w:rsidRPr="0074017C" w:rsidRDefault="00107F4E" w:rsidP="003003B8">
            <w:pPr>
              <w:jc w:val="both"/>
            </w:pPr>
            <w:r w:rsidRPr="0074017C">
              <w:t>14,08</w:t>
            </w:r>
          </w:p>
        </w:tc>
        <w:tc>
          <w:tcPr>
            <w:tcW w:w="1233" w:type="dxa"/>
            <w:shd w:val="clear" w:color="auto" w:fill="D9D9D9" w:themeFill="background1" w:themeFillShade="D9"/>
            <w:noWrap/>
            <w:hideMark/>
          </w:tcPr>
          <w:p w:rsidR="00107F4E" w:rsidRPr="0074017C" w:rsidRDefault="00107F4E" w:rsidP="003003B8">
            <w:pPr>
              <w:jc w:val="both"/>
            </w:pPr>
            <w:r w:rsidRPr="0074017C">
              <w:t>14,09</w:t>
            </w:r>
          </w:p>
        </w:tc>
        <w:tc>
          <w:tcPr>
            <w:tcW w:w="1233" w:type="dxa"/>
            <w:shd w:val="clear" w:color="auto" w:fill="D9D9D9" w:themeFill="background1" w:themeFillShade="D9"/>
            <w:noWrap/>
            <w:hideMark/>
          </w:tcPr>
          <w:p w:rsidR="00107F4E" w:rsidRPr="0074017C" w:rsidRDefault="00107F4E" w:rsidP="003003B8">
            <w:pPr>
              <w:jc w:val="both"/>
            </w:pPr>
            <w:r w:rsidRPr="0074017C">
              <w:t>13,36</w:t>
            </w:r>
          </w:p>
        </w:tc>
      </w:tr>
    </w:tbl>
    <w:p w:rsidR="003003B8" w:rsidRPr="0074017C" w:rsidRDefault="003003B8" w:rsidP="00DC10CD">
      <w:pPr>
        <w:spacing w:after="0" w:line="240" w:lineRule="auto"/>
        <w:jc w:val="both"/>
      </w:pPr>
      <w:r w:rsidRPr="0074017C">
        <w:t>Source: World Bank HNPSTATS database</w:t>
      </w:r>
    </w:p>
    <w:p w:rsidR="003003B8" w:rsidRPr="0074017C" w:rsidRDefault="003003B8" w:rsidP="00DC10CD">
      <w:pPr>
        <w:spacing w:after="0" w:line="240" w:lineRule="auto"/>
        <w:jc w:val="both"/>
      </w:pPr>
    </w:p>
    <w:p w:rsidR="003C12F7" w:rsidRPr="0074017C" w:rsidRDefault="003C12F7" w:rsidP="00DC10CD">
      <w:pPr>
        <w:spacing w:after="0" w:line="240" w:lineRule="auto"/>
        <w:jc w:val="both"/>
      </w:pPr>
      <w:r w:rsidRPr="0074017C">
        <w:t xml:space="preserve">Healthcare </w:t>
      </w:r>
      <w:r w:rsidR="00853A49" w:rsidRPr="0074017C">
        <w:t>services are delivered</w:t>
      </w:r>
      <w:r w:rsidR="00D076D5" w:rsidRPr="0074017C">
        <w:t>at</w:t>
      </w:r>
      <w:r w:rsidRPr="0074017C">
        <w:t xml:space="preserve"> three levels: i) primary healthcare which is provided by health centers and policlinics, ii) secondary healthcare provided at regional and districts hospitals and iii) tertiary care which remains quite limited mostly provided in Tirana</w:t>
      </w:r>
      <w:r w:rsidR="00B30A5F" w:rsidRPr="0074017C">
        <w:rPr>
          <w:rStyle w:val="FootnoteReference"/>
        </w:rPr>
        <w:footnoteReference w:id="4"/>
      </w:r>
      <w:r w:rsidR="00B30A5F" w:rsidRPr="0074017C">
        <w:t xml:space="preserve">. </w:t>
      </w:r>
    </w:p>
    <w:p w:rsidR="003C12F7" w:rsidRPr="0074017C" w:rsidRDefault="003C12F7" w:rsidP="00DC10CD">
      <w:pPr>
        <w:spacing w:after="0" w:line="240" w:lineRule="auto"/>
        <w:jc w:val="both"/>
      </w:pPr>
    </w:p>
    <w:p w:rsidR="003C12F7" w:rsidRPr="0074017C" w:rsidRDefault="003C12F7" w:rsidP="00DC10CD">
      <w:pPr>
        <w:spacing w:after="0" w:line="240" w:lineRule="auto"/>
        <w:jc w:val="both"/>
      </w:pPr>
      <w:r w:rsidRPr="0074017C">
        <w:t xml:space="preserve">In terms of regulation, jurisdiction mainly falls </w:t>
      </w:r>
      <w:r w:rsidR="00CD63A0" w:rsidRPr="0074017C">
        <w:t>under the Ministry of Health (MoH). The Mo</w:t>
      </w:r>
      <w:r w:rsidRPr="0074017C">
        <w:t xml:space="preserve">H is the government body in charge of setting all policies and strategies targeting healthcare as well as coordinating all actors within the system. The Albanian Parliament approves the annual budget dedicated to healthcare. Funds are collected </w:t>
      </w:r>
      <w:r w:rsidR="006561B6" w:rsidRPr="0074017C">
        <w:t>by the</w:t>
      </w:r>
      <w:r w:rsidRPr="0074017C">
        <w:t xml:space="preserve"> tax office and Ministry of Finance </w:t>
      </w:r>
      <w:r w:rsidR="006561B6" w:rsidRPr="0074017C">
        <w:t xml:space="preserve">(salary </w:t>
      </w:r>
      <w:r w:rsidRPr="0074017C">
        <w:lastRenderedPageBreak/>
        <w:t xml:space="preserve">contributions </w:t>
      </w:r>
      <w:r w:rsidR="006561B6" w:rsidRPr="0074017C">
        <w:t>for</w:t>
      </w:r>
      <w:r w:rsidRPr="0074017C">
        <w:t xml:space="preserve"> health insurance and </w:t>
      </w:r>
      <w:r w:rsidR="006561B6" w:rsidRPr="0074017C">
        <w:t xml:space="preserve">funds from </w:t>
      </w:r>
      <w:r w:rsidR="00055CEE" w:rsidRPr="0074017C">
        <w:t>general taxation</w:t>
      </w:r>
      <w:r w:rsidR="006561B6" w:rsidRPr="0074017C">
        <w:t>)</w:t>
      </w:r>
      <w:r w:rsidR="00055CEE" w:rsidRPr="0074017C">
        <w:t xml:space="preserve"> and are </w:t>
      </w:r>
      <w:r w:rsidRPr="0074017C">
        <w:t xml:space="preserve">pooled </w:t>
      </w:r>
      <w:r w:rsidR="00055CEE" w:rsidRPr="0074017C">
        <w:t>at the</w:t>
      </w:r>
      <w:r w:rsidRPr="0074017C">
        <w:t xml:space="preserve"> Health Insurance </w:t>
      </w:r>
      <w:r w:rsidR="00055CEE" w:rsidRPr="0074017C">
        <w:t>Fund (HIF)</w:t>
      </w:r>
      <w:r w:rsidRPr="0074017C">
        <w:t xml:space="preserve">.Recent reforms have increased the role of the </w:t>
      </w:r>
      <w:r w:rsidR="00055CEE" w:rsidRPr="0074017C">
        <w:t>HIF (previously named the Health Insurance Institute)</w:t>
      </w:r>
      <w:r w:rsidRPr="0074017C">
        <w:t>. The HIF, which is an independent body accountable directly to the parliament, finances primary health care</w:t>
      </w:r>
      <w:r w:rsidR="00055CEE" w:rsidRPr="0074017C">
        <w:t xml:space="preserve"> (including prescription medicines)</w:t>
      </w:r>
      <w:r w:rsidRPr="0074017C">
        <w:t xml:space="preserve">, </w:t>
      </w:r>
      <w:r w:rsidR="00126BD2" w:rsidRPr="0074017C">
        <w:t xml:space="preserve">and </w:t>
      </w:r>
      <w:r w:rsidRPr="0074017C">
        <w:t>secondary and tertiary hospitals</w:t>
      </w:r>
      <w:r w:rsidR="00055CEE" w:rsidRPr="0074017C">
        <w:t xml:space="preserve"> on a contractual basis.R</w:t>
      </w:r>
      <w:r w:rsidRPr="0074017C">
        <w:t xml:space="preserve">egional and tertiary hospitals manage their </w:t>
      </w:r>
      <w:r w:rsidR="00055CEE" w:rsidRPr="0074017C">
        <w:t xml:space="preserve">line item </w:t>
      </w:r>
      <w:r w:rsidRPr="0074017C">
        <w:t xml:space="preserve">budgets </w:t>
      </w:r>
      <w:r w:rsidR="00055CEE" w:rsidRPr="0074017C">
        <w:t>but plans are in operation to increase their level of managerial a</w:t>
      </w:r>
      <w:r w:rsidRPr="0074017C">
        <w:t>utonomy.</w:t>
      </w:r>
    </w:p>
    <w:p w:rsidR="003C12F7" w:rsidRPr="0074017C" w:rsidRDefault="003C12F7" w:rsidP="00DC10CD">
      <w:pPr>
        <w:spacing w:after="0" w:line="240" w:lineRule="auto"/>
        <w:jc w:val="both"/>
      </w:pPr>
    </w:p>
    <w:p w:rsidR="00564666" w:rsidRPr="0099049D" w:rsidRDefault="00564666" w:rsidP="00DC10CD">
      <w:pPr>
        <w:spacing w:after="0" w:line="240" w:lineRule="auto"/>
        <w:jc w:val="both"/>
        <w:rPr>
          <w:b/>
        </w:rPr>
      </w:pPr>
      <w:r w:rsidRPr="0099049D">
        <w:rPr>
          <w:b/>
        </w:rPr>
        <w:t xml:space="preserve">Due to issues with quality of primary and secondary care, patients often bypass the </w:t>
      </w:r>
      <w:r w:rsidR="00B30A5F" w:rsidRPr="0099049D">
        <w:rPr>
          <w:b/>
        </w:rPr>
        <w:t xml:space="preserve">primary care </w:t>
      </w:r>
      <w:r w:rsidRPr="0099049D">
        <w:rPr>
          <w:b/>
        </w:rPr>
        <w:t xml:space="preserve">gatekeeping system and seek care directly in tertiary hospitals or turn to the private market. Only about half of Albanian doctors gave correct diagnosis and treatment in response to hypothetical patient vignettes for common conditions. Drug shortages in public facilities are </w:t>
      </w:r>
      <w:r w:rsidR="006561B6" w:rsidRPr="0099049D">
        <w:rPr>
          <w:b/>
        </w:rPr>
        <w:t>common</w:t>
      </w:r>
      <w:r w:rsidRPr="0099049D">
        <w:rPr>
          <w:b/>
        </w:rPr>
        <w:t>. Clinical guidelines for five common conditions were developed under the Health Sector Modernization Project, but the application of these guidelines in not currently monitored.Staffing patterns and education for clinical, nursing and support staff need to be adapted to international standards.</w:t>
      </w:r>
    </w:p>
    <w:p w:rsidR="00192397" w:rsidRPr="0099049D" w:rsidRDefault="00192397" w:rsidP="00DC10CD">
      <w:pPr>
        <w:spacing w:after="0" w:line="240" w:lineRule="auto"/>
        <w:rPr>
          <w:b/>
        </w:rPr>
      </w:pPr>
    </w:p>
    <w:p w:rsidR="00564666" w:rsidRPr="0099049D" w:rsidRDefault="00564666" w:rsidP="00DC10CD">
      <w:pPr>
        <w:spacing w:after="0" w:line="240" w:lineRule="auto"/>
        <w:jc w:val="both"/>
        <w:rPr>
          <w:b/>
        </w:rPr>
      </w:pPr>
      <w:r w:rsidRPr="0099049D">
        <w:rPr>
          <w:b/>
        </w:rPr>
        <w:t>Public spending is dominated by hospita</w:t>
      </w:r>
      <w:r w:rsidR="00DD004A" w:rsidRPr="0099049D">
        <w:rPr>
          <w:b/>
        </w:rPr>
        <w:t>l expenditures</w:t>
      </w:r>
      <w:r w:rsidRPr="0099049D">
        <w:rPr>
          <w:b/>
        </w:rPr>
        <w:t xml:space="preserve">with a disproportionate share going towards tertiary services. Financial discipline in the system is weak and has led to a chronic problem of hospital payment arrears, which in 2013 amounted to 4,5 billion </w:t>
      </w:r>
      <w:r w:rsidR="00DF24C0" w:rsidRPr="0099049D">
        <w:rPr>
          <w:b/>
        </w:rPr>
        <w:t>LEK</w:t>
      </w:r>
      <w:r w:rsidRPr="0099049D">
        <w:rPr>
          <w:b/>
        </w:rPr>
        <w:t xml:space="preserve"> ($US45 million), the majority of which were attributable to the </w:t>
      </w:r>
      <w:r w:rsidR="00B30A5F" w:rsidRPr="0099049D">
        <w:rPr>
          <w:b/>
        </w:rPr>
        <w:t xml:space="preserve">tertiary </w:t>
      </w:r>
      <w:r w:rsidRPr="0099049D">
        <w:rPr>
          <w:b/>
        </w:rPr>
        <w:t xml:space="preserve">Mother Theresa national referral hospital (QendraSpitaloreUniversitare (QSUT)).  </w:t>
      </w:r>
    </w:p>
    <w:p w:rsidR="00564666" w:rsidRPr="0074017C" w:rsidRDefault="00564666" w:rsidP="00DC10CD">
      <w:pPr>
        <w:spacing w:after="0" w:line="240" w:lineRule="auto"/>
        <w:rPr>
          <w:b/>
        </w:rPr>
      </w:pPr>
    </w:p>
    <w:p w:rsidR="006A3136" w:rsidRPr="0074017C" w:rsidRDefault="006A3136" w:rsidP="00DC10CD">
      <w:pPr>
        <w:spacing w:after="0" w:line="240" w:lineRule="auto"/>
        <w:jc w:val="both"/>
      </w:pPr>
      <w:r w:rsidRPr="0074017C">
        <w:t xml:space="preserve">Current IT systems do not allow </w:t>
      </w:r>
      <w:r w:rsidR="006E6ADC" w:rsidRPr="0074017C">
        <w:t xml:space="preserve">the </w:t>
      </w:r>
      <w:r w:rsidRPr="0074017C">
        <w:t>MOH, HI</w:t>
      </w:r>
      <w:r w:rsidR="00B30A5F" w:rsidRPr="0074017C">
        <w:t>F</w:t>
      </w:r>
      <w:r w:rsidRPr="0074017C">
        <w:t xml:space="preserve">, or facility managers and physicians to monitor the quality and efficiency of care.  For the most part, regional hospitals </w:t>
      </w:r>
      <w:r w:rsidR="000C535A" w:rsidRPr="0074017C">
        <w:t xml:space="preserve">and primary care </w:t>
      </w:r>
      <w:r w:rsidRPr="0074017C">
        <w:t xml:space="preserve">are without modern, complete, hospital information systems.  </w:t>
      </w:r>
    </w:p>
    <w:p w:rsidR="00F22DA0" w:rsidRPr="0074017C" w:rsidRDefault="00F22DA0" w:rsidP="00DC10CD">
      <w:pPr>
        <w:pStyle w:val="ListParagraph"/>
        <w:spacing w:after="0" w:line="240" w:lineRule="auto"/>
        <w:ind w:left="0"/>
        <w:jc w:val="both"/>
      </w:pPr>
    </w:p>
    <w:p w:rsidR="00C30431" w:rsidRPr="0074017C" w:rsidRDefault="00F22DA0" w:rsidP="00DC10CD">
      <w:pPr>
        <w:pStyle w:val="ListParagraph"/>
        <w:spacing w:after="0" w:line="240" w:lineRule="auto"/>
        <w:ind w:left="0"/>
        <w:jc w:val="both"/>
      </w:pPr>
      <w:r w:rsidRPr="0074017C">
        <w:rPr>
          <w:rFonts w:cs="Times New Roman"/>
        </w:rPr>
        <w:t>While the traditional Mediterranean diet has been posited for a long time as a major explanation for Albania’s relatively good adult health indicators, eating habits have changed and the Global Burden of Disease Profile 2010cites dietary risks as the main population health risk factor in Albania, followedby high blood pressure and smoking habits. The latter are another major source of concern due to their severe (especially long-term) detrimental impact on health outcomes, and since there is evidence that smoking rates havebeen rising recently</w:t>
      </w:r>
      <w:r w:rsidR="00564666" w:rsidRPr="0074017C">
        <w:rPr>
          <w:rStyle w:val="FootnoteReference"/>
          <w:rFonts w:cs="Times New Roman"/>
          <w:b/>
        </w:rPr>
        <w:footnoteReference w:id="5"/>
      </w:r>
      <w:r w:rsidRPr="0074017C">
        <w:rPr>
          <w:rFonts w:cs="Times New Roman"/>
        </w:rPr>
        <w:t>.</w:t>
      </w:r>
      <w:r w:rsidR="00C30431" w:rsidRPr="0074017C">
        <w:t>The planned free nationwide population check-up for the age group 40-65 is a first step in increasing the responsiveness of the system to the new epidemiological profile, but needs to be followedup by continued treatment to those diagnosed with any major health problem.</w:t>
      </w:r>
    </w:p>
    <w:p w:rsidR="00F260CF" w:rsidRPr="0074017C" w:rsidRDefault="00F260CF" w:rsidP="00DC10CD">
      <w:pPr>
        <w:spacing w:after="0" w:line="240" w:lineRule="auto"/>
      </w:pPr>
    </w:p>
    <w:p w:rsidR="00A656CE" w:rsidRPr="0099049D" w:rsidRDefault="00B40A36" w:rsidP="00DC10CD">
      <w:pPr>
        <w:spacing w:after="0" w:line="240" w:lineRule="auto"/>
        <w:jc w:val="both"/>
        <w:rPr>
          <w:b/>
        </w:rPr>
      </w:pPr>
      <w:r w:rsidRPr="0099049D">
        <w:rPr>
          <w:b/>
        </w:rPr>
        <w:t>Low spending on health care (both in terms of total and public expenditure), high proportion of out of pocket spending and a remarkably low percentage of health i</w:t>
      </w:r>
      <w:r w:rsidR="00564666" w:rsidRPr="0099049D">
        <w:rPr>
          <w:b/>
        </w:rPr>
        <w:t xml:space="preserve">nsured in the population </w:t>
      </w:r>
      <w:r w:rsidRPr="0099049D">
        <w:rPr>
          <w:b/>
        </w:rPr>
        <w:t xml:space="preserve">point to the fact that Albania </w:t>
      </w:r>
      <w:r w:rsidR="00A656CE" w:rsidRPr="0099049D">
        <w:rPr>
          <w:b/>
        </w:rPr>
        <w:t>has historically</w:t>
      </w:r>
      <w:r w:rsidRPr="0099049D">
        <w:rPr>
          <w:b/>
        </w:rPr>
        <w:t xml:space="preserve"> not </w:t>
      </w:r>
      <w:r w:rsidR="00A656CE" w:rsidRPr="0099049D">
        <w:rPr>
          <w:b/>
        </w:rPr>
        <w:t>considered investing in health care as a priority</w:t>
      </w:r>
      <w:r w:rsidRPr="0099049D">
        <w:rPr>
          <w:b/>
        </w:rPr>
        <w:t xml:space="preserve">. It is reasonable to expect that a substantial proportion of ill Albanians </w:t>
      </w:r>
      <w:r w:rsidR="000C535A" w:rsidRPr="0099049D">
        <w:rPr>
          <w:b/>
        </w:rPr>
        <w:t>are</w:t>
      </w:r>
      <w:r w:rsidRPr="0099049D">
        <w:rPr>
          <w:b/>
        </w:rPr>
        <w:t xml:space="preserve"> currently not properly diagnosed and </w:t>
      </w:r>
      <w:r w:rsidR="00A656CE" w:rsidRPr="0099049D">
        <w:rPr>
          <w:b/>
        </w:rPr>
        <w:t>receiving rationally prescribed therapy. Apart from economic hardship, q</w:t>
      </w:r>
      <w:r w:rsidRPr="0099049D">
        <w:rPr>
          <w:b/>
        </w:rPr>
        <w:t>uality of care issues</w:t>
      </w:r>
      <w:r w:rsidR="00A656CE" w:rsidRPr="0099049D">
        <w:rPr>
          <w:b/>
        </w:rPr>
        <w:t xml:space="preserve"> may further influence compliance </w:t>
      </w:r>
      <w:r w:rsidR="005E1E72" w:rsidRPr="0099049D">
        <w:rPr>
          <w:b/>
        </w:rPr>
        <w:t xml:space="preserve">(and volume of dispensed medicines) </w:t>
      </w:r>
      <w:r w:rsidR="00A656CE" w:rsidRPr="0099049D">
        <w:rPr>
          <w:b/>
        </w:rPr>
        <w:t xml:space="preserve">in therapy for diagnosed patients. </w:t>
      </w:r>
    </w:p>
    <w:p w:rsidR="00A656CE" w:rsidRPr="0074017C" w:rsidRDefault="00732CCE" w:rsidP="00732CCE">
      <w:pPr>
        <w:tabs>
          <w:tab w:val="left" w:pos="2160"/>
        </w:tabs>
        <w:spacing w:after="0" w:line="240" w:lineRule="auto"/>
        <w:jc w:val="both"/>
        <w:rPr>
          <w:b/>
        </w:rPr>
      </w:pPr>
      <w:r w:rsidRPr="0074017C">
        <w:rPr>
          <w:b/>
        </w:rPr>
        <w:tab/>
      </w:r>
    </w:p>
    <w:p w:rsidR="00B40A36" w:rsidRPr="0074017C" w:rsidRDefault="00A656CE" w:rsidP="00DC10CD">
      <w:pPr>
        <w:spacing w:after="0" w:line="240" w:lineRule="auto"/>
        <w:jc w:val="both"/>
      </w:pPr>
      <w:r w:rsidRPr="0074017C">
        <w:t xml:space="preserve">This, combined with the expected rise in the incidence and prevalence of NCDs, the planned free nationwide population check-up for the age group 40-65 and underdevelopment of IT systems for monitoring health care provision may </w:t>
      </w:r>
      <w:r w:rsidR="005E1E72" w:rsidRPr="0074017C">
        <w:t>generate</w:t>
      </w:r>
      <w:r w:rsidRPr="0074017C">
        <w:t xml:space="preserve"> substantial potential for escalating expenditure on medicines in the coming years.</w:t>
      </w:r>
    </w:p>
    <w:p w:rsidR="00286C86" w:rsidRPr="0074017C" w:rsidRDefault="006A3136" w:rsidP="00DC10CD">
      <w:pPr>
        <w:pStyle w:val="Heading2"/>
        <w:spacing w:before="0" w:line="240" w:lineRule="auto"/>
      </w:pPr>
      <w:bookmarkStart w:id="4" w:name="_Toc391556302"/>
      <w:r w:rsidRPr="0074017C">
        <w:lastRenderedPageBreak/>
        <w:t>Pharmaceutical Market in Albania</w:t>
      </w:r>
      <w:bookmarkEnd w:id="4"/>
    </w:p>
    <w:p w:rsidR="006A3136" w:rsidRPr="0074017C" w:rsidRDefault="006A3136" w:rsidP="00DC10CD">
      <w:pPr>
        <w:spacing w:after="0" w:line="240" w:lineRule="auto"/>
        <w:rPr>
          <w:b/>
        </w:rPr>
      </w:pPr>
    </w:p>
    <w:p w:rsidR="003003B8" w:rsidRPr="0074017C" w:rsidRDefault="003003B8" w:rsidP="00DC10CD">
      <w:pPr>
        <w:spacing w:after="0" w:line="240" w:lineRule="auto"/>
        <w:rPr>
          <w:b/>
        </w:rPr>
      </w:pPr>
    </w:p>
    <w:p w:rsidR="00B30A5F" w:rsidRPr="0074017C" w:rsidRDefault="006A3136" w:rsidP="00DC10CD">
      <w:pPr>
        <w:spacing w:after="0" w:line="240" w:lineRule="auto"/>
        <w:jc w:val="both"/>
      </w:pPr>
      <w:r w:rsidRPr="0074017C">
        <w:t xml:space="preserve">The </w:t>
      </w:r>
      <w:r w:rsidR="00A656CE" w:rsidRPr="0074017C">
        <w:t xml:space="preserve">HIF’s </w:t>
      </w:r>
      <w:r w:rsidRPr="0074017C">
        <w:t>reimbursement budget has increased stead</w:t>
      </w:r>
      <w:r w:rsidR="00A656CE" w:rsidRPr="0074017C">
        <w:t>ily over the years. The 2013 HIF</w:t>
      </w:r>
      <w:r w:rsidRPr="0074017C">
        <w:t xml:space="preserve"> drug reimbursement budget was 60 million Euros, up from approximately 56 million in 2012 and 49 million in 2011. </w:t>
      </w:r>
      <w:r w:rsidR="00B30A5F" w:rsidRPr="0074017C">
        <w:t>According to the HIF, 90% of the reimbursement budget was spent on individuals in exempt categories, who receive 100% reimbursement</w:t>
      </w:r>
      <w:r w:rsidR="00B30A5F" w:rsidRPr="0074017C">
        <w:rPr>
          <w:rStyle w:val="FootnoteReference"/>
        </w:rPr>
        <w:footnoteReference w:id="6"/>
      </w:r>
      <w:r w:rsidR="00B30A5F" w:rsidRPr="0074017C">
        <w:t xml:space="preserve">. </w:t>
      </w:r>
      <w:r w:rsidR="00434F06" w:rsidRPr="0074017C">
        <w:t>Several</w:t>
      </w:r>
      <w:r w:rsidR="00B30A5F" w:rsidRPr="0074017C">
        <w:t xml:space="preserve"> categories of insured (estimated by HIF at 45% of the total number) are not required to pay copayments. In instances when several generics are reimbursed this applies only for the cheapest generic. These include the retired, disabled, children 0-1 years, cancer</w:t>
      </w:r>
      <w:r w:rsidR="00434F06" w:rsidRPr="0074017C">
        <w:t xml:space="preserve"> patients, TB patients, orphans and</w:t>
      </w:r>
      <w:r w:rsidR="00B30A5F" w:rsidRPr="0074017C">
        <w:t>the blind. In addition, veterans and war invalids do not have to pay copayments for any drugs in the list.  No medicines are free at the point of use to other Albanians (both insured and non insured).</w:t>
      </w:r>
    </w:p>
    <w:p w:rsidR="00B30A5F" w:rsidRPr="0074017C" w:rsidRDefault="00B30A5F" w:rsidP="00DC10CD">
      <w:pPr>
        <w:spacing w:after="0" w:line="240" w:lineRule="auto"/>
        <w:jc w:val="both"/>
      </w:pPr>
    </w:p>
    <w:p w:rsidR="00B30A5F" w:rsidRPr="0074017C" w:rsidRDefault="00B30A5F" w:rsidP="00DC10CD">
      <w:pPr>
        <w:spacing w:after="0" w:line="240" w:lineRule="auto"/>
        <w:jc w:val="both"/>
      </w:pPr>
    </w:p>
    <w:p w:rsidR="000C1BF8" w:rsidRPr="0074017C" w:rsidRDefault="00CD32A9" w:rsidP="00DC10CD">
      <w:pPr>
        <w:spacing w:after="0" w:line="240" w:lineRule="auto"/>
        <w:jc w:val="both"/>
      </w:pPr>
      <w:r w:rsidRPr="0074017C">
        <w:t>These exempt categories likely contribute significantly to expenditures on the top 10 reimbursed drugs by value.These drugs comprise 35% of the reimbursement budget (and the top 20 comprise 47% of the budget). These are mostly drugs for chronic conditions and cancers</w:t>
      </w:r>
      <w:r w:rsidR="000C1BF8" w:rsidRPr="0074017C">
        <w:rPr>
          <w:rStyle w:val="FootnoteReference"/>
        </w:rPr>
        <w:footnoteReference w:id="7"/>
      </w:r>
      <w:r w:rsidRPr="0074017C">
        <w:t>.</w:t>
      </w:r>
    </w:p>
    <w:p w:rsidR="000C1BF8" w:rsidRPr="0074017C" w:rsidRDefault="000C1BF8" w:rsidP="00DC10CD">
      <w:pPr>
        <w:spacing w:after="0" w:line="240" w:lineRule="auto"/>
        <w:jc w:val="both"/>
      </w:pPr>
    </w:p>
    <w:p w:rsidR="006A3136" w:rsidRPr="0074017C" w:rsidRDefault="00DD004A" w:rsidP="00DC10CD">
      <w:pPr>
        <w:spacing w:after="0" w:line="240" w:lineRule="auto"/>
        <w:jc w:val="both"/>
      </w:pPr>
      <w:r w:rsidRPr="0074017C">
        <w:t>The</w:t>
      </w:r>
      <w:r w:rsidR="00CD32A9" w:rsidRPr="0074017C">
        <w:t xml:space="preserve">annual </w:t>
      </w:r>
      <w:r w:rsidR="00A656CE" w:rsidRPr="0074017C">
        <w:t xml:space="preserve">growth of HIF’s expenditure on medicines has from 2008-2012 </w:t>
      </w:r>
      <w:r w:rsidR="00CD32A9" w:rsidRPr="0074017C">
        <w:t xml:space="preserve">been </w:t>
      </w:r>
      <w:r w:rsidR="005E1E72" w:rsidRPr="0074017C">
        <w:t>in the double digits</w:t>
      </w:r>
      <w:r w:rsidR="000C535A" w:rsidRPr="0074017C">
        <w:t>:</w:t>
      </w:r>
      <w:r w:rsidR="00CD32A9" w:rsidRPr="0074017C">
        <w:t xml:space="preserve">between 14 and 20% annually. </w:t>
      </w:r>
      <w:r w:rsidR="0066350A" w:rsidRPr="0074017C">
        <w:t xml:space="preserve">Due to underlying factors mentioned above, </w:t>
      </w:r>
      <w:r w:rsidR="00A505B9" w:rsidRPr="0074017C">
        <w:t>i</w:t>
      </w:r>
      <w:r w:rsidR="00CD32A9" w:rsidRPr="0074017C">
        <w:t xml:space="preserve">t is reasonable to expect that this trend may likely continue in the future. </w:t>
      </w:r>
    </w:p>
    <w:p w:rsidR="006A3136" w:rsidRPr="0074017C" w:rsidRDefault="006A3136" w:rsidP="00DC10CD">
      <w:pPr>
        <w:spacing w:after="0" w:line="240" w:lineRule="auto"/>
        <w:rPr>
          <w:i/>
          <w:u w:val="single"/>
        </w:rPr>
      </w:pPr>
    </w:p>
    <w:p w:rsidR="00B30A5F" w:rsidRPr="0074017C" w:rsidRDefault="00B30A5F" w:rsidP="00DC10CD">
      <w:pPr>
        <w:spacing w:after="0" w:line="240" w:lineRule="auto"/>
      </w:pPr>
      <w:r w:rsidRPr="0074017C">
        <w:t xml:space="preserve">Table </w:t>
      </w:r>
      <w:r w:rsidR="00875271" w:rsidRPr="0074017C">
        <w:t>2</w:t>
      </w:r>
      <w:r w:rsidR="00B90BFE" w:rsidRPr="0074017C">
        <w:t xml:space="preserve"> – HIF’s expenditure on medicines from 2006 to 2012</w:t>
      </w:r>
    </w:p>
    <w:tbl>
      <w:tblPr>
        <w:tblStyle w:val="TableGrid"/>
        <w:tblW w:w="5000" w:type="pct"/>
        <w:tblLook w:val="04A0"/>
      </w:tblPr>
      <w:tblGrid>
        <w:gridCol w:w="3310"/>
        <w:gridCol w:w="895"/>
        <w:gridCol w:w="895"/>
        <w:gridCol w:w="895"/>
        <w:gridCol w:w="895"/>
        <w:gridCol w:w="895"/>
        <w:gridCol w:w="895"/>
        <w:gridCol w:w="896"/>
      </w:tblGrid>
      <w:tr w:rsidR="00C30431" w:rsidRPr="0074017C" w:rsidTr="00640879">
        <w:trPr>
          <w:trHeight w:val="300"/>
        </w:trPr>
        <w:tc>
          <w:tcPr>
            <w:tcW w:w="1332" w:type="pct"/>
            <w:noWrap/>
            <w:hideMark/>
          </w:tcPr>
          <w:p w:rsidR="00C30431" w:rsidRPr="0074017C" w:rsidRDefault="00C30431" w:rsidP="00DC10CD">
            <w:pPr>
              <w:rPr>
                <w:b/>
                <w:bCs/>
              </w:rPr>
            </w:pPr>
            <w:r w:rsidRPr="0074017C">
              <w:rPr>
                <w:b/>
                <w:bCs/>
              </w:rPr>
              <w:t>Albania/Year</w:t>
            </w:r>
          </w:p>
        </w:tc>
        <w:tc>
          <w:tcPr>
            <w:tcW w:w="524" w:type="pct"/>
            <w:noWrap/>
            <w:hideMark/>
          </w:tcPr>
          <w:p w:rsidR="00C30431" w:rsidRPr="0074017C" w:rsidRDefault="00C30431" w:rsidP="00DC10CD">
            <w:pPr>
              <w:rPr>
                <w:b/>
                <w:bCs/>
              </w:rPr>
            </w:pPr>
            <w:r w:rsidRPr="0074017C">
              <w:rPr>
                <w:b/>
                <w:bCs/>
              </w:rPr>
              <w:t>2006</w:t>
            </w:r>
          </w:p>
        </w:tc>
        <w:tc>
          <w:tcPr>
            <w:tcW w:w="524" w:type="pct"/>
            <w:noWrap/>
            <w:hideMark/>
          </w:tcPr>
          <w:p w:rsidR="00C30431" w:rsidRPr="0074017C" w:rsidRDefault="00C30431" w:rsidP="00DC10CD">
            <w:pPr>
              <w:rPr>
                <w:b/>
                <w:bCs/>
              </w:rPr>
            </w:pPr>
            <w:r w:rsidRPr="0074017C">
              <w:rPr>
                <w:b/>
                <w:bCs/>
              </w:rPr>
              <w:t>2007</w:t>
            </w:r>
          </w:p>
        </w:tc>
        <w:tc>
          <w:tcPr>
            <w:tcW w:w="524" w:type="pct"/>
            <w:noWrap/>
            <w:hideMark/>
          </w:tcPr>
          <w:p w:rsidR="00C30431" w:rsidRPr="0074017C" w:rsidRDefault="00C30431" w:rsidP="00DC10CD">
            <w:pPr>
              <w:rPr>
                <w:b/>
                <w:bCs/>
              </w:rPr>
            </w:pPr>
            <w:r w:rsidRPr="0074017C">
              <w:rPr>
                <w:b/>
                <w:bCs/>
              </w:rPr>
              <w:t>2008</w:t>
            </w:r>
          </w:p>
        </w:tc>
        <w:tc>
          <w:tcPr>
            <w:tcW w:w="524" w:type="pct"/>
            <w:noWrap/>
            <w:hideMark/>
          </w:tcPr>
          <w:p w:rsidR="00C30431" w:rsidRPr="0074017C" w:rsidRDefault="00C30431" w:rsidP="00DC10CD">
            <w:pPr>
              <w:rPr>
                <w:b/>
                <w:bCs/>
              </w:rPr>
            </w:pPr>
            <w:r w:rsidRPr="0074017C">
              <w:rPr>
                <w:b/>
                <w:bCs/>
              </w:rPr>
              <w:t>2009</w:t>
            </w:r>
          </w:p>
        </w:tc>
        <w:tc>
          <w:tcPr>
            <w:tcW w:w="524" w:type="pct"/>
            <w:noWrap/>
            <w:hideMark/>
          </w:tcPr>
          <w:p w:rsidR="00C30431" w:rsidRPr="0074017C" w:rsidRDefault="00C30431" w:rsidP="00DC10CD">
            <w:pPr>
              <w:rPr>
                <w:b/>
                <w:bCs/>
              </w:rPr>
            </w:pPr>
            <w:r w:rsidRPr="0074017C">
              <w:rPr>
                <w:b/>
                <w:bCs/>
              </w:rPr>
              <w:t>2010</w:t>
            </w:r>
          </w:p>
        </w:tc>
        <w:tc>
          <w:tcPr>
            <w:tcW w:w="524" w:type="pct"/>
            <w:noWrap/>
            <w:hideMark/>
          </w:tcPr>
          <w:p w:rsidR="00C30431" w:rsidRPr="0074017C" w:rsidRDefault="00C30431" w:rsidP="00DC10CD">
            <w:pPr>
              <w:rPr>
                <w:b/>
                <w:bCs/>
              </w:rPr>
            </w:pPr>
            <w:r w:rsidRPr="0074017C">
              <w:rPr>
                <w:b/>
                <w:bCs/>
              </w:rPr>
              <w:t>2011</w:t>
            </w:r>
          </w:p>
        </w:tc>
        <w:tc>
          <w:tcPr>
            <w:tcW w:w="524" w:type="pct"/>
            <w:noWrap/>
            <w:hideMark/>
          </w:tcPr>
          <w:p w:rsidR="00C30431" w:rsidRPr="0074017C" w:rsidRDefault="00C30431" w:rsidP="00DC10CD">
            <w:pPr>
              <w:rPr>
                <w:b/>
                <w:bCs/>
              </w:rPr>
            </w:pPr>
            <w:r w:rsidRPr="0074017C">
              <w:rPr>
                <w:b/>
                <w:bCs/>
              </w:rPr>
              <w:t>2012</w:t>
            </w:r>
          </w:p>
        </w:tc>
      </w:tr>
      <w:tr w:rsidR="00C30431" w:rsidRPr="0074017C" w:rsidTr="00640879">
        <w:trPr>
          <w:trHeight w:val="300"/>
        </w:trPr>
        <w:tc>
          <w:tcPr>
            <w:tcW w:w="1332" w:type="pct"/>
            <w:noWrap/>
            <w:hideMark/>
          </w:tcPr>
          <w:p w:rsidR="00C30431" w:rsidRPr="0074017C" w:rsidRDefault="00DD004A" w:rsidP="00603288">
            <w:pPr>
              <w:rPr>
                <w:b/>
                <w:highlight w:val="yellow"/>
              </w:rPr>
            </w:pPr>
            <w:r w:rsidRPr="0074017C">
              <w:rPr>
                <w:b/>
              </w:rPr>
              <w:t xml:space="preserve">HIF </w:t>
            </w:r>
            <w:r w:rsidR="00C30431" w:rsidRPr="0074017C">
              <w:rPr>
                <w:b/>
              </w:rPr>
              <w:t>drug expenditure</w:t>
            </w:r>
            <w:r w:rsidR="00282F52" w:rsidRPr="0074017C">
              <w:rPr>
                <w:b/>
              </w:rPr>
              <w:t>in</w:t>
            </w:r>
            <w:r w:rsidR="00EE12C6" w:rsidRPr="0074017C">
              <w:rPr>
                <w:b/>
              </w:rPr>
              <w:t>million L</w:t>
            </w:r>
            <w:r w:rsidR="00603288" w:rsidRPr="0074017C">
              <w:rPr>
                <w:b/>
              </w:rPr>
              <w:t>ek</w:t>
            </w:r>
          </w:p>
        </w:tc>
        <w:tc>
          <w:tcPr>
            <w:tcW w:w="524" w:type="pct"/>
            <w:noWrap/>
            <w:hideMark/>
          </w:tcPr>
          <w:p w:rsidR="00C30431" w:rsidRPr="0074017C" w:rsidRDefault="00C30431" w:rsidP="00DC10CD">
            <w:r w:rsidRPr="0074017C">
              <w:t>3,619</w:t>
            </w:r>
          </w:p>
        </w:tc>
        <w:tc>
          <w:tcPr>
            <w:tcW w:w="524" w:type="pct"/>
            <w:noWrap/>
            <w:hideMark/>
          </w:tcPr>
          <w:p w:rsidR="00C30431" w:rsidRPr="0074017C" w:rsidRDefault="00C30431" w:rsidP="00DC10CD">
            <w:r w:rsidRPr="0074017C">
              <w:t>3,494</w:t>
            </w:r>
          </w:p>
        </w:tc>
        <w:tc>
          <w:tcPr>
            <w:tcW w:w="524" w:type="pct"/>
            <w:noWrap/>
            <w:hideMark/>
          </w:tcPr>
          <w:p w:rsidR="00C30431" w:rsidRPr="0074017C" w:rsidRDefault="00C30431" w:rsidP="00DC10CD">
            <w:r w:rsidRPr="0074017C">
              <w:t>4,216</w:t>
            </w:r>
          </w:p>
        </w:tc>
        <w:tc>
          <w:tcPr>
            <w:tcW w:w="524" w:type="pct"/>
            <w:noWrap/>
            <w:hideMark/>
          </w:tcPr>
          <w:p w:rsidR="00C30431" w:rsidRPr="0074017C" w:rsidRDefault="00C30431" w:rsidP="00DC10CD">
            <w:r w:rsidRPr="0074017C">
              <w:t>4,856</w:t>
            </w:r>
          </w:p>
        </w:tc>
        <w:tc>
          <w:tcPr>
            <w:tcW w:w="524" w:type="pct"/>
            <w:noWrap/>
            <w:hideMark/>
          </w:tcPr>
          <w:p w:rsidR="00C30431" w:rsidRPr="0074017C" w:rsidRDefault="00C30431" w:rsidP="00DC10CD">
            <w:r w:rsidRPr="0074017C">
              <w:t>5,927</w:t>
            </w:r>
          </w:p>
        </w:tc>
        <w:tc>
          <w:tcPr>
            <w:tcW w:w="524" w:type="pct"/>
            <w:noWrap/>
            <w:hideMark/>
          </w:tcPr>
          <w:p w:rsidR="00C30431" w:rsidRPr="0074017C" w:rsidRDefault="00C30431" w:rsidP="00DC10CD">
            <w:r w:rsidRPr="0074017C">
              <w:t>6,883</w:t>
            </w:r>
          </w:p>
        </w:tc>
        <w:tc>
          <w:tcPr>
            <w:tcW w:w="524" w:type="pct"/>
            <w:noWrap/>
            <w:hideMark/>
          </w:tcPr>
          <w:p w:rsidR="00C30431" w:rsidRPr="0074017C" w:rsidRDefault="00C30431" w:rsidP="00DC10CD">
            <w:r w:rsidRPr="0074017C">
              <w:t>7,880</w:t>
            </w:r>
          </w:p>
        </w:tc>
      </w:tr>
      <w:tr w:rsidR="00C30431" w:rsidRPr="0074017C" w:rsidTr="00640879">
        <w:trPr>
          <w:trHeight w:val="300"/>
        </w:trPr>
        <w:tc>
          <w:tcPr>
            <w:tcW w:w="1332" w:type="pct"/>
            <w:noWrap/>
            <w:hideMark/>
          </w:tcPr>
          <w:p w:rsidR="00C30431" w:rsidRPr="0074017C" w:rsidRDefault="00C30431" w:rsidP="00DC10CD">
            <w:pPr>
              <w:rPr>
                <w:b/>
              </w:rPr>
            </w:pPr>
            <w:r w:rsidRPr="0074017C">
              <w:rPr>
                <w:b/>
              </w:rPr>
              <w:t>Percentage growth</w:t>
            </w:r>
          </w:p>
        </w:tc>
        <w:tc>
          <w:tcPr>
            <w:tcW w:w="524" w:type="pct"/>
            <w:noWrap/>
            <w:hideMark/>
          </w:tcPr>
          <w:p w:rsidR="00C30431" w:rsidRPr="0074017C" w:rsidRDefault="00C30431" w:rsidP="00DC10CD"/>
        </w:tc>
        <w:tc>
          <w:tcPr>
            <w:tcW w:w="524" w:type="pct"/>
            <w:noWrap/>
            <w:hideMark/>
          </w:tcPr>
          <w:p w:rsidR="00C30431" w:rsidRPr="0074017C" w:rsidRDefault="00C30431" w:rsidP="00DC10CD">
            <w:r w:rsidRPr="0074017C">
              <w:t>-3.46%</w:t>
            </w:r>
          </w:p>
        </w:tc>
        <w:tc>
          <w:tcPr>
            <w:tcW w:w="524" w:type="pct"/>
            <w:noWrap/>
            <w:hideMark/>
          </w:tcPr>
          <w:p w:rsidR="00C30431" w:rsidRPr="0074017C" w:rsidRDefault="00C30431" w:rsidP="00DC10CD">
            <w:r w:rsidRPr="0074017C">
              <w:t>20.66%</w:t>
            </w:r>
          </w:p>
        </w:tc>
        <w:tc>
          <w:tcPr>
            <w:tcW w:w="524" w:type="pct"/>
            <w:noWrap/>
            <w:hideMark/>
          </w:tcPr>
          <w:p w:rsidR="00C30431" w:rsidRPr="0074017C" w:rsidRDefault="00C30431" w:rsidP="00DC10CD">
            <w:r w:rsidRPr="0074017C">
              <w:t>15.19%</w:t>
            </w:r>
          </w:p>
        </w:tc>
        <w:tc>
          <w:tcPr>
            <w:tcW w:w="524" w:type="pct"/>
            <w:noWrap/>
            <w:hideMark/>
          </w:tcPr>
          <w:p w:rsidR="00C30431" w:rsidRPr="0074017C" w:rsidRDefault="00C30431" w:rsidP="00DC10CD">
            <w:r w:rsidRPr="0074017C">
              <w:t>22.06%</w:t>
            </w:r>
          </w:p>
        </w:tc>
        <w:tc>
          <w:tcPr>
            <w:tcW w:w="524" w:type="pct"/>
            <w:noWrap/>
            <w:hideMark/>
          </w:tcPr>
          <w:p w:rsidR="00C30431" w:rsidRPr="0074017C" w:rsidRDefault="00C30431" w:rsidP="00DC10CD">
            <w:r w:rsidRPr="0074017C">
              <w:t>16.12%</w:t>
            </w:r>
          </w:p>
        </w:tc>
        <w:tc>
          <w:tcPr>
            <w:tcW w:w="524" w:type="pct"/>
            <w:noWrap/>
            <w:hideMark/>
          </w:tcPr>
          <w:p w:rsidR="00C30431" w:rsidRPr="0074017C" w:rsidRDefault="00C30431" w:rsidP="00DC10CD">
            <w:r w:rsidRPr="0074017C">
              <w:t>14.49%</w:t>
            </w:r>
          </w:p>
        </w:tc>
      </w:tr>
    </w:tbl>
    <w:p w:rsidR="00C30431" w:rsidRPr="0074017C" w:rsidRDefault="00DD004A" w:rsidP="00DC10CD">
      <w:pPr>
        <w:spacing w:after="0" w:line="240" w:lineRule="auto"/>
      </w:pPr>
      <w:r w:rsidRPr="0074017C">
        <w:t>Source: HIF</w:t>
      </w:r>
    </w:p>
    <w:p w:rsidR="00640879" w:rsidRPr="0074017C" w:rsidRDefault="00640879" w:rsidP="00DC10CD">
      <w:pPr>
        <w:spacing w:after="0" w:line="240" w:lineRule="auto"/>
        <w:rPr>
          <w:b/>
        </w:rPr>
      </w:pPr>
    </w:p>
    <w:p w:rsidR="00DD004A" w:rsidRPr="0074017C" w:rsidRDefault="00DD004A" w:rsidP="00DC10CD">
      <w:pPr>
        <w:spacing w:after="0" w:line="240" w:lineRule="auto"/>
        <w:jc w:val="both"/>
      </w:pPr>
      <w:r w:rsidRPr="0074017C">
        <w:t xml:space="preserve">HIF’s expenditure on medicines per capita displays substantial variation from 1,518 Lek to 5,178 Lek by region. This phenomenon cannot be reasonably explained by differences in the </w:t>
      </w:r>
      <w:r w:rsidR="000C535A" w:rsidRPr="0074017C">
        <w:t xml:space="preserve">regional </w:t>
      </w:r>
      <w:r w:rsidRPr="0074017C">
        <w:t xml:space="preserve">burden of disease but may be the result of several issues that deserve further looking into – variations in the proportion of insured by region, different standards (and quality!) of care or concentration of patients in </w:t>
      </w:r>
      <w:r w:rsidR="00B30A5F" w:rsidRPr="0074017C">
        <w:t xml:space="preserve">some regions, particularly </w:t>
      </w:r>
      <w:r w:rsidRPr="0074017C">
        <w:t xml:space="preserve">the country’s capital Tirana. </w:t>
      </w:r>
    </w:p>
    <w:p w:rsidR="00DD004A" w:rsidRPr="0074017C" w:rsidRDefault="00DD004A" w:rsidP="00DC10CD">
      <w:pPr>
        <w:spacing w:after="0" w:line="240" w:lineRule="auto"/>
        <w:rPr>
          <w:b/>
        </w:rPr>
      </w:pPr>
    </w:p>
    <w:p w:rsidR="00A93829" w:rsidRPr="0074017C" w:rsidRDefault="00875271" w:rsidP="002138B5">
      <w:pPr>
        <w:spacing w:after="0" w:line="240" w:lineRule="auto"/>
      </w:pPr>
      <w:r w:rsidRPr="0074017C">
        <w:t>Table 3</w:t>
      </w:r>
      <w:r w:rsidR="00B90BFE" w:rsidRPr="0074017C">
        <w:t xml:space="preserve"> - </w:t>
      </w:r>
      <w:r w:rsidR="00A93829" w:rsidRPr="0074017C">
        <w:t>HIF’s expenditure on medicines per capita by regions</w:t>
      </w:r>
    </w:p>
    <w:tbl>
      <w:tblPr>
        <w:tblStyle w:val="TableGrid"/>
        <w:tblW w:w="0" w:type="auto"/>
        <w:tblLook w:val="04A0"/>
      </w:tblPr>
      <w:tblGrid>
        <w:gridCol w:w="2858"/>
        <w:gridCol w:w="959"/>
        <w:gridCol w:w="959"/>
        <w:gridCol w:w="960"/>
        <w:gridCol w:w="960"/>
        <w:gridCol w:w="960"/>
        <w:gridCol w:w="960"/>
        <w:gridCol w:w="960"/>
      </w:tblGrid>
      <w:tr w:rsidR="00640879" w:rsidRPr="0074017C" w:rsidTr="00A93829">
        <w:trPr>
          <w:trHeight w:val="300"/>
        </w:trPr>
        <w:tc>
          <w:tcPr>
            <w:tcW w:w="2858" w:type="dxa"/>
            <w:noWrap/>
            <w:hideMark/>
          </w:tcPr>
          <w:p w:rsidR="00640879" w:rsidRPr="0074017C" w:rsidRDefault="00640879" w:rsidP="00EE12C6">
            <w:pPr>
              <w:rPr>
                <w:b/>
                <w:bCs/>
              </w:rPr>
            </w:pPr>
            <w:r w:rsidRPr="0074017C">
              <w:rPr>
                <w:b/>
                <w:bCs/>
              </w:rPr>
              <w:t>HI</w:t>
            </w:r>
            <w:r w:rsidR="00DD004A" w:rsidRPr="0074017C">
              <w:rPr>
                <w:b/>
                <w:bCs/>
              </w:rPr>
              <w:t>F</w:t>
            </w:r>
            <w:r w:rsidRPr="0074017C">
              <w:rPr>
                <w:b/>
                <w:bCs/>
              </w:rPr>
              <w:t xml:space="preserve"> drug exp per capita by region in</w:t>
            </w:r>
            <w:r w:rsidR="00EE12C6" w:rsidRPr="0074017C">
              <w:rPr>
                <w:b/>
                <w:bCs/>
              </w:rPr>
              <w:t xml:space="preserve"> LEK</w:t>
            </w:r>
          </w:p>
        </w:tc>
        <w:tc>
          <w:tcPr>
            <w:tcW w:w="959" w:type="dxa"/>
            <w:noWrap/>
            <w:hideMark/>
          </w:tcPr>
          <w:p w:rsidR="00640879" w:rsidRPr="0074017C" w:rsidRDefault="00640879" w:rsidP="00DC10CD">
            <w:pPr>
              <w:rPr>
                <w:b/>
                <w:bCs/>
              </w:rPr>
            </w:pPr>
            <w:r w:rsidRPr="0074017C">
              <w:rPr>
                <w:b/>
                <w:bCs/>
              </w:rPr>
              <w:t>2006</w:t>
            </w:r>
          </w:p>
        </w:tc>
        <w:tc>
          <w:tcPr>
            <w:tcW w:w="959" w:type="dxa"/>
            <w:noWrap/>
            <w:hideMark/>
          </w:tcPr>
          <w:p w:rsidR="00640879" w:rsidRPr="0074017C" w:rsidRDefault="00640879" w:rsidP="00DC10CD">
            <w:pPr>
              <w:rPr>
                <w:b/>
                <w:bCs/>
              </w:rPr>
            </w:pPr>
            <w:r w:rsidRPr="0074017C">
              <w:rPr>
                <w:b/>
                <w:bCs/>
              </w:rPr>
              <w:t>2007</w:t>
            </w:r>
          </w:p>
        </w:tc>
        <w:tc>
          <w:tcPr>
            <w:tcW w:w="960" w:type="dxa"/>
            <w:noWrap/>
            <w:hideMark/>
          </w:tcPr>
          <w:p w:rsidR="00640879" w:rsidRPr="0074017C" w:rsidRDefault="00640879" w:rsidP="00DC10CD">
            <w:pPr>
              <w:rPr>
                <w:b/>
                <w:bCs/>
              </w:rPr>
            </w:pPr>
            <w:r w:rsidRPr="0074017C">
              <w:rPr>
                <w:b/>
                <w:bCs/>
              </w:rPr>
              <w:t>2008</w:t>
            </w:r>
          </w:p>
        </w:tc>
        <w:tc>
          <w:tcPr>
            <w:tcW w:w="960" w:type="dxa"/>
            <w:noWrap/>
            <w:hideMark/>
          </w:tcPr>
          <w:p w:rsidR="00640879" w:rsidRPr="0074017C" w:rsidRDefault="00640879" w:rsidP="00DC10CD">
            <w:pPr>
              <w:rPr>
                <w:b/>
                <w:bCs/>
              </w:rPr>
            </w:pPr>
            <w:r w:rsidRPr="0074017C">
              <w:rPr>
                <w:b/>
                <w:bCs/>
              </w:rPr>
              <w:t>2009</w:t>
            </w:r>
          </w:p>
        </w:tc>
        <w:tc>
          <w:tcPr>
            <w:tcW w:w="960" w:type="dxa"/>
            <w:noWrap/>
            <w:hideMark/>
          </w:tcPr>
          <w:p w:rsidR="00640879" w:rsidRPr="0074017C" w:rsidRDefault="00640879" w:rsidP="00DC10CD">
            <w:pPr>
              <w:rPr>
                <w:b/>
                <w:bCs/>
              </w:rPr>
            </w:pPr>
            <w:r w:rsidRPr="0074017C">
              <w:rPr>
                <w:b/>
                <w:bCs/>
              </w:rPr>
              <w:t>2010</w:t>
            </w:r>
          </w:p>
        </w:tc>
        <w:tc>
          <w:tcPr>
            <w:tcW w:w="960" w:type="dxa"/>
            <w:noWrap/>
            <w:hideMark/>
          </w:tcPr>
          <w:p w:rsidR="00640879" w:rsidRPr="0074017C" w:rsidRDefault="00640879" w:rsidP="00DC10CD">
            <w:pPr>
              <w:rPr>
                <w:b/>
                <w:bCs/>
              </w:rPr>
            </w:pPr>
            <w:r w:rsidRPr="0074017C">
              <w:rPr>
                <w:b/>
                <w:bCs/>
              </w:rPr>
              <w:t>2011</w:t>
            </w:r>
          </w:p>
        </w:tc>
        <w:tc>
          <w:tcPr>
            <w:tcW w:w="960" w:type="dxa"/>
            <w:noWrap/>
            <w:hideMark/>
          </w:tcPr>
          <w:p w:rsidR="00640879" w:rsidRPr="0074017C" w:rsidRDefault="00640879" w:rsidP="00DC10CD">
            <w:pPr>
              <w:rPr>
                <w:b/>
                <w:bCs/>
              </w:rPr>
            </w:pPr>
            <w:r w:rsidRPr="0074017C">
              <w:rPr>
                <w:b/>
                <w:bCs/>
              </w:rPr>
              <w:t>2012</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Berat</w:t>
            </w:r>
          </w:p>
        </w:tc>
        <w:tc>
          <w:tcPr>
            <w:tcW w:w="959" w:type="dxa"/>
            <w:noWrap/>
            <w:hideMark/>
          </w:tcPr>
          <w:p w:rsidR="00640879" w:rsidRPr="0074017C" w:rsidRDefault="00640879" w:rsidP="00DC10CD">
            <w:r w:rsidRPr="0074017C">
              <w:t>891</w:t>
            </w:r>
          </w:p>
        </w:tc>
        <w:tc>
          <w:tcPr>
            <w:tcW w:w="959" w:type="dxa"/>
            <w:noWrap/>
            <w:hideMark/>
          </w:tcPr>
          <w:p w:rsidR="00640879" w:rsidRPr="0074017C" w:rsidRDefault="00640879" w:rsidP="00DC10CD">
            <w:r w:rsidRPr="0074017C">
              <w:t>817</w:t>
            </w:r>
          </w:p>
        </w:tc>
        <w:tc>
          <w:tcPr>
            <w:tcW w:w="960" w:type="dxa"/>
            <w:noWrap/>
            <w:hideMark/>
          </w:tcPr>
          <w:p w:rsidR="00640879" w:rsidRPr="0074017C" w:rsidRDefault="00640879" w:rsidP="00DC10CD">
            <w:r w:rsidRPr="0074017C">
              <w:t>1,005</w:t>
            </w:r>
          </w:p>
        </w:tc>
        <w:tc>
          <w:tcPr>
            <w:tcW w:w="960" w:type="dxa"/>
            <w:noWrap/>
            <w:hideMark/>
          </w:tcPr>
          <w:p w:rsidR="00640879" w:rsidRPr="0074017C" w:rsidRDefault="00640879" w:rsidP="00DC10CD">
            <w:r w:rsidRPr="0074017C">
              <w:t>1,157</w:t>
            </w:r>
          </w:p>
        </w:tc>
        <w:tc>
          <w:tcPr>
            <w:tcW w:w="960" w:type="dxa"/>
            <w:noWrap/>
            <w:hideMark/>
          </w:tcPr>
          <w:p w:rsidR="00640879" w:rsidRPr="0074017C" w:rsidRDefault="00640879" w:rsidP="00DC10CD">
            <w:r w:rsidRPr="0074017C">
              <w:t>1,343</w:t>
            </w:r>
          </w:p>
        </w:tc>
        <w:tc>
          <w:tcPr>
            <w:tcW w:w="960" w:type="dxa"/>
            <w:noWrap/>
            <w:hideMark/>
          </w:tcPr>
          <w:p w:rsidR="00640879" w:rsidRPr="0074017C" w:rsidRDefault="00640879" w:rsidP="00DC10CD">
            <w:r w:rsidRPr="0074017C">
              <w:t>1,476</w:t>
            </w:r>
          </w:p>
        </w:tc>
        <w:tc>
          <w:tcPr>
            <w:tcW w:w="960" w:type="dxa"/>
            <w:noWrap/>
            <w:hideMark/>
          </w:tcPr>
          <w:p w:rsidR="00640879" w:rsidRPr="0074017C" w:rsidRDefault="00640879" w:rsidP="00DC10CD">
            <w:r w:rsidRPr="0074017C">
              <w:t>1,760</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Diber</w:t>
            </w:r>
          </w:p>
        </w:tc>
        <w:tc>
          <w:tcPr>
            <w:tcW w:w="959" w:type="dxa"/>
            <w:noWrap/>
            <w:hideMark/>
          </w:tcPr>
          <w:p w:rsidR="00640879" w:rsidRPr="0074017C" w:rsidRDefault="00640879" w:rsidP="00DC10CD">
            <w:r w:rsidRPr="0074017C">
              <w:t>698</w:t>
            </w:r>
          </w:p>
        </w:tc>
        <w:tc>
          <w:tcPr>
            <w:tcW w:w="959" w:type="dxa"/>
            <w:noWrap/>
            <w:hideMark/>
          </w:tcPr>
          <w:p w:rsidR="00640879" w:rsidRPr="0074017C" w:rsidRDefault="00640879" w:rsidP="00DC10CD">
            <w:r w:rsidRPr="0074017C">
              <w:t>586</w:t>
            </w:r>
          </w:p>
        </w:tc>
        <w:tc>
          <w:tcPr>
            <w:tcW w:w="960" w:type="dxa"/>
            <w:noWrap/>
            <w:hideMark/>
          </w:tcPr>
          <w:p w:rsidR="00640879" w:rsidRPr="0074017C" w:rsidRDefault="00640879" w:rsidP="00DC10CD">
            <w:r w:rsidRPr="0074017C">
              <w:t>694</w:t>
            </w:r>
          </w:p>
        </w:tc>
        <w:tc>
          <w:tcPr>
            <w:tcW w:w="960" w:type="dxa"/>
            <w:noWrap/>
            <w:hideMark/>
          </w:tcPr>
          <w:p w:rsidR="00640879" w:rsidRPr="0074017C" w:rsidRDefault="00640879" w:rsidP="00DC10CD">
            <w:r w:rsidRPr="0074017C">
              <w:t>882</w:t>
            </w:r>
          </w:p>
        </w:tc>
        <w:tc>
          <w:tcPr>
            <w:tcW w:w="960" w:type="dxa"/>
            <w:noWrap/>
            <w:hideMark/>
          </w:tcPr>
          <w:p w:rsidR="00640879" w:rsidRPr="0074017C" w:rsidRDefault="00640879" w:rsidP="00DC10CD">
            <w:r w:rsidRPr="0074017C">
              <w:t>1,051</w:t>
            </w:r>
          </w:p>
        </w:tc>
        <w:tc>
          <w:tcPr>
            <w:tcW w:w="960" w:type="dxa"/>
            <w:noWrap/>
            <w:hideMark/>
          </w:tcPr>
          <w:p w:rsidR="00640879" w:rsidRPr="0074017C" w:rsidRDefault="00640879" w:rsidP="00DC10CD">
            <w:r w:rsidRPr="0074017C">
              <w:t>1,363</w:t>
            </w:r>
          </w:p>
        </w:tc>
        <w:tc>
          <w:tcPr>
            <w:tcW w:w="960" w:type="dxa"/>
            <w:noWrap/>
            <w:hideMark/>
          </w:tcPr>
          <w:p w:rsidR="00640879" w:rsidRPr="0074017C" w:rsidRDefault="00640879" w:rsidP="00DC10CD">
            <w:r w:rsidRPr="0074017C">
              <w:t>1,553</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Durres</w:t>
            </w:r>
          </w:p>
        </w:tc>
        <w:tc>
          <w:tcPr>
            <w:tcW w:w="959" w:type="dxa"/>
            <w:noWrap/>
            <w:hideMark/>
          </w:tcPr>
          <w:p w:rsidR="00640879" w:rsidRPr="0074017C" w:rsidRDefault="00640879" w:rsidP="00DC10CD">
            <w:r w:rsidRPr="0074017C">
              <w:t>1,011</w:t>
            </w:r>
          </w:p>
        </w:tc>
        <w:tc>
          <w:tcPr>
            <w:tcW w:w="959" w:type="dxa"/>
            <w:noWrap/>
            <w:hideMark/>
          </w:tcPr>
          <w:p w:rsidR="00640879" w:rsidRPr="0074017C" w:rsidRDefault="00640879" w:rsidP="00DC10CD">
            <w:r w:rsidRPr="0074017C">
              <w:t>930</w:t>
            </w:r>
          </w:p>
        </w:tc>
        <w:tc>
          <w:tcPr>
            <w:tcW w:w="960" w:type="dxa"/>
            <w:noWrap/>
            <w:hideMark/>
          </w:tcPr>
          <w:p w:rsidR="00640879" w:rsidRPr="0074017C" w:rsidRDefault="00640879" w:rsidP="00DC10CD">
            <w:r w:rsidRPr="0074017C">
              <w:t>1,103</w:t>
            </w:r>
          </w:p>
        </w:tc>
        <w:tc>
          <w:tcPr>
            <w:tcW w:w="960" w:type="dxa"/>
            <w:noWrap/>
            <w:hideMark/>
          </w:tcPr>
          <w:p w:rsidR="00640879" w:rsidRPr="0074017C" w:rsidRDefault="00640879" w:rsidP="00DC10CD">
            <w:r w:rsidRPr="0074017C">
              <w:t>1,255</w:t>
            </w:r>
          </w:p>
        </w:tc>
        <w:tc>
          <w:tcPr>
            <w:tcW w:w="960" w:type="dxa"/>
            <w:noWrap/>
            <w:hideMark/>
          </w:tcPr>
          <w:p w:rsidR="00640879" w:rsidRPr="0074017C" w:rsidRDefault="00640879" w:rsidP="00DC10CD">
            <w:r w:rsidRPr="0074017C">
              <w:t>1,493</w:t>
            </w:r>
          </w:p>
        </w:tc>
        <w:tc>
          <w:tcPr>
            <w:tcW w:w="960" w:type="dxa"/>
            <w:noWrap/>
            <w:hideMark/>
          </w:tcPr>
          <w:p w:rsidR="00640879" w:rsidRPr="0074017C" w:rsidRDefault="00640879" w:rsidP="00DC10CD">
            <w:r w:rsidRPr="0074017C">
              <w:t>1,662</w:t>
            </w:r>
          </w:p>
        </w:tc>
        <w:tc>
          <w:tcPr>
            <w:tcW w:w="960" w:type="dxa"/>
            <w:noWrap/>
            <w:hideMark/>
          </w:tcPr>
          <w:p w:rsidR="00640879" w:rsidRPr="0074017C" w:rsidRDefault="00640879" w:rsidP="00DC10CD">
            <w:r w:rsidRPr="0074017C">
              <w:t>1,857</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Elbasan</w:t>
            </w:r>
          </w:p>
        </w:tc>
        <w:tc>
          <w:tcPr>
            <w:tcW w:w="959" w:type="dxa"/>
            <w:noWrap/>
            <w:hideMark/>
          </w:tcPr>
          <w:p w:rsidR="00640879" w:rsidRPr="0074017C" w:rsidRDefault="00640879" w:rsidP="00DC10CD">
            <w:r w:rsidRPr="0074017C">
              <w:t>648</w:t>
            </w:r>
          </w:p>
        </w:tc>
        <w:tc>
          <w:tcPr>
            <w:tcW w:w="959" w:type="dxa"/>
            <w:noWrap/>
            <w:hideMark/>
          </w:tcPr>
          <w:p w:rsidR="00640879" w:rsidRPr="0074017C" w:rsidRDefault="00640879" w:rsidP="00DC10CD">
            <w:r w:rsidRPr="0074017C">
              <w:t>686</w:t>
            </w:r>
          </w:p>
        </w:tc>
        <w:tc>
          <w:tcPr>
            <w:tcW w:w="960" w:type="dxa"/>
            <w:noWrap/>
            <w:hideMark/>
          </w:tcPr>
          <w:p w:rsidR="00640879" w:rsidRPr="0074017C" w:rsidRDefault="00640879" w:rsidP="00DC10CD">
            <w:r w:rsidRPr="0074017C">
              <w:t>870</w:t>
            </w:r>
          </w:p>
        </w:tc>
        <w:tc>
          <w:tcPr>
            <w:tcW w:w="960" w:type="dxa"/>
            <w:noWrap/>
            <w:hideMark/>
          </w:tcPr>
          <w:p w:rsidR="00640879" w:rsidRPr="0074017C" w:rsidRDefault="00640879" w:rsidP="00DC10CD">
            <w:r w:rsidRPr="0074017C">
              <w:t>1,068</w:t>
            </w:r>
          </w:p>
        </w:tc>
        <w:tc>
          <w:tcPr>
            <w:tcW w:w="960" w:type="dxa"/>
            <w:noWrap/>
            <w:hideMark/>
          </w:tcPr>
          <w:p w:rsidR="00640879" w:rsidRPr="0074017C" w:rsidRDefault="00640879" w:rsidP="00DC10CD">
            <w:r w:rsidRPr="0074017C">
              <w:t>1,299</w:t>
            </w:r>
          </w:p>
        </w:tc>
        <w:tc>
          <w:tcPr>
            <w:tcW w:w="960" w:type="dxa"/>
            <w:noWrap/>
            <w:hideMark/>
          </w:tcPr>
          <w:p w:rsidR="00640879" w:rsidRPr="0074017C" w:rsidRDefault="00640879" w:rsidP="00DC10CD">
            <w:r w:rsidRPr="0074017C">
              <w:t>1,659</w:t>
            </w:r>
          </w:p>
        </w:tc>
        <w:tc>
          <w:tcPr>
            <w:tcW w:w="960" w:type="dxa"/>
            <w:noWrap/>
            <w:hideMark/>
          </w:tcPr>
          <w:p w:rsidR="00640879" w:rsidRPr="0074017C" w:rsidRDefault="00640879" w:rsidP="00DC10CD">
            <w:r w:rsidRPr="0074017C">
              <w:t>1,905</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Fier</w:t>
            </w:r>
          </w:p>
        </w:tc>
        <w:tc>
          <w:tcPr>
            <w:tcW w:w="959" w:type="dxa"/>
            <w:noWrap/>
            <w:hideMark/>
          </w:tcPr>
          <w:p w:rsidR="00640879" w:rsidRPr="0074017C" w:rsidRDefault="00640879" w:rsidP="00DC10CD">
            <w:r w:rsidRPr="0074017C">
              <w:t>1,016</w:t>
            </w:r>
          </w:p>
        </w:tc>
        <w:tc>
          <w:tcPr>
            <w:tcW w:w="959" w:type="dxa"/>
            <w:noWrap/>
            <w:hideMark/>
          </w:tcPr>
          <w:p w:rsidR="00640879" w:rsidRPr="0074017C" w:rsidRDefault="00640879" w:rsidP="00DC10CD">
            <w:r w:rsidRPr="0074017C">
              <w:t>884</w:t>
            </w:r>
          </w:p>
        </w:tc>
        <w:tc>
          <w:tcPr>
            <w:tcW w:w="960" w:type="dxa"/>
            <w:noWrap/>
            <w:hideMark/>
          </w:tcPr>
          <w:p w:rsidR="00640879" w:rsidRPr="0074017C" w:rsidRDefault="00640879" w:rsidP="00DC10CD">
            <w:r w:rsidRPr="0074017C">
              <w:t>1,026</w:t>
            </w:r>
          </w:p>
        </w:tc>
        <w:tc>
          <w:tcPr>
            <w:tcW w:w="960" w:type="dxa"/>
            <w:noWrap/>
            <w:hideMark/>
          </w:tcPr>
          <w:p w:rsidR="00640879" w:rsidRPr="0074017C" w:rsidRDefault="00640879" w:rsidP="00DC10CD">
            <w:r w:rsidRPr="0074017C">
              <w:t>1,139</w:t>
            </w:r>
          </w:p>
        </w:tc>
        <w:tc>
          <w:tcPr>
            <w:tcW w:w="960" w:type="dxa"/>
            <w:noWrap/>
            <w:hideMark/>
          </w:tcPr>
          <w:p w:rsidR="00640879" w:rsidRPr="0074017C" w:rsidRDefault="00640879" w:rsidP="00DC10CD">
            <w:r w:rsidRPr="0074017C">
              <w:t>1,271</w:t>
            </w:r>
          </w:p>
        </w:tc>
        <w:tc>
          <w:tcPr>
            <w:tcW w:w="960" w:type="dxa"/>
            <w:noWrap/>
            <w:hideMark/>
          </w:tcPr>
          <w:p w:rsidR="00640879" w:rsidRPr="0074017C" w:rsidRDefault="00640879" w:rsidP="00DC10CD">
            <w:r w:rsidRPr="0074017C">
              <w:t>1,471</w:t>
            </w:r>
          </w:p>
        </w:tc>
        <w:tc>
          <w:tcPr>
            <w:tcW w:w="960" w:type="dxa"/>
            <w:noWrap/>
            <w:hideMark/>
          </w:tcPr>
          <w:p w:rsidR="00640879" w:rsidRPr="0074017C" w:rsidRDefault="00640879" w:rsidP="00DC10CD">
            <w:r w:rsidRPr="0074017C">
              <w:t>1,665</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Gjirokaster</w:t>
            </w:r>
          </w:p>
        </w:tc>
        <w:tc>
          <w:tcPr>
            <w:tcW w:w="959" w:type="dxa"/>
            <w:noWrap/>
            <w:hideMark/>
          </w:tcPr>
          <w:p w:rsidR="00640879" w:rsidRPr="0074017C" w:rsidRDefault="00640879" w:rsidP="00DC10CD">
            <w:r w:rsidRPr="0074017C">
              <w:t>666</w:t>
            </w:r>
          </w:p>
        </w:tc>
        <w:tc>
          <w:tcPr>
            <w:tcW w:w="959" w:type="dxa"/>
            <w:noWrap/>
            <w:hideMark/>
          </w:tcPr>
          <w:p w:rsidR="00640879" w:rsidRPr="0074017C" w:rsidRDefault="00640879" w:rsidP="00DC10CD">
            <w:r w:rsidRPr="0074017C">
              <w:t>658</w:t>
            </w:r>
          </w:p>
        </w:tc>
        <w:tc>
          <w:tcPr>
            <w:tcW w:w="960" w:type="dxa"/>
            <w:noWrap/>
            <w:hideMark/>
          </w:tcPr>
          <w:p w:rsidR="00640879" w:rsidRPr="0074017C" w:rsidRDefault="00640879" w:rsidP="00DC10CD">
            <w:r w:rsidRPr="0074017C">
              <w:t>835</w:t>
            </w:r>
          </w:p>
        </w:tc>
        <w:tc>
          <w:tcPr>
            <w:tcW w:w="960" w:type="dxa"/>
            <w:noWrap/>
            <w:hideMark/>
          </w:tcPr>
          <w:p w:rsidR="00640879" w:rsidRPr="0074017C" w:rsidRDefault="00640879" w:rsidP="00DC10CD">
            <w:r w:rsidRPr="0074017C">
              <w:t>1,021</w:t>
            </w:r>
          </w:p>
        </w:tc>
        <w:tc>
          <w:tcPr>
            <w:tcW w:w="960" w:type="dxa"/>
            <w:noWrap/>
            <w:hideMark/>
          </w:tcPr>
          <w:p w:rsidR="00640879" w:rsidRPr="0074017C" w:rsidRDefault="00640879" w:rsidP="00DC10CD">
            <w:r w:rsidRPr="0074017C">
              <w:t>1,286</w:t>
            </w:r>
          </w:p>
        </w:tc>
        <w:tc>
          <w:tcPr>
            <w:tcW w:w="960" w:type="dxa"/>
            <w:noWrap/>
            <w:hideMark/>
          </w:tcPr>
          <w:p w:rsidR="00640879" w:rsidRPr="0074017C" w:rsidRDefault="00640879" w:rsidP="00DC10CD">
            <w:r w:rsidRPr="0074017C">
              <w:t>1,628</w:t>
            </w:r>
          </w:p>
        </w:tc>
        <w:tc>
          <w:tcPr>
            <w:tcW w:w="960" w:type="dxa"/>
            <w:noWrap/>
            <w:hideMark/>
          </w:tcPr>
          <w:p w:rsidR="00640879" w:rsidRPr="0074017C" w:rsidRDefault="00640879" w:rsidP="00DC10CD">
            <w:r w:rsidRPr="0074017C">
              <w:t>1,973</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lastRenderedPageBreak/>
              <w:t>Korce</w:t>
            </w:r>
          </w:p>
        </w:tc>
        <w:tc>
          <w:tcPr>
            <w:tcW w:w="959" w:type="dxa"/>
            <w:noWrap/>
            <w:hideMark/>
          </w:tcPr>
          <w:p w:rsidR="00640879" w:rsidRPr="0074017C" w:rsidRDefault="00640879" w:rsidP="00DC10CD">
            <w:r w:rsidRPr="0074017C">
              <w:t>962</w:t>
            </w:r>
          </w:p>
        </w:tc>
        <w:tc>
          <w:tcPr>
            <w:tcW w:w="959" w:type="dxa"/>
            <w:noWrap/>
            <w:hideMark/>
          </w:tcPr>
          <w:p w:rsidR="00640879" w:rsidRPr="0074017C" w:rsidRDefault="00640879" w:rsidP="00DC10CD">
            <w:r w:rsidRPr="0074017C">
              <w:t>914</w:t>
            </w:r>
          </w:p>
        </w:tc>
        <w:tc>
          <w:tcPr>
            <w:tcW w:w="960" w:type="dxa"/>
            <w:noWrap/>
            <w:hideMark/>
          </w:tcPr>
          <w:p w:rsidR="00640879" w:rsidRPr="0074017C" w:rsidRDefault="00640879" w:rsidP="00DC10CD">
            <w:r w:rsidRPr="0074017C">
              <w:t>1,066</w:t>
            </w:r>
          </w:p>
        </w:tc>
        <w:tc>
          <w:tcPr>
            <w:tcW w:w="960" w:type="dxa"/>
            <w:noWrap/>
            <w:hideMark/>
          </w:tcPr>
          <w:p w:rsidR="00640879" w:rsidRPr="0074017C" w:rsidRDefault="00640879" w:rsidP="00DC10CD">
            <w:r w:rsidRPr="0074017C">
              <w:t>1,267</w:t>
            </w:r>
          </w:p>
        </w:tc>
        <w:tc>
          <w:tcPr>
            <w:tcW w:w="960" w:type="dxa"/>
            <w:noWrap/>
            <w:hideMark/>
          </w:tcPr>
          <w:p w:rsidR="00640879" w:rsidRPr="0074017C" w:rsidRDefault="00640879" w:rsidP="00DC10CD">
            <w:r w:rsidRPr="0074017C">
              <w:t>1,553</w:t>
            </w:r>
          </w:p>
        </w:tc>
        <w:tc>
          <w:tcPr>
            <w:tcW w:w="960" w:type="dxa"/>
            <w:noWrap/>
            <w:hideMark/>
          </w:tcPr>
          <w:p w:rsidR="00640879" w:rsidRPr="0074017C" w:rsidRDefault="00640879" w:rsidP="00DC10CD">
            <w:r w:rsidRPr="0074017C">
              <w:t>1,824</w:t>
            </w:r>
          </w:p>
        </w:tc>
        <w:tc>
          <w:tcPr>
            <w:tcW w:w="960" w:type="dxa"/>
            <w:noWrap/>
            <w:hideMark/>
          </w:tcPr>
          <w:p w:rsidR="00640879" w:rsidRPr="0074017C" w:rsidRDefault="00640879" w:rsidP="00DC10CD">
            <w:r w:rsidRPr="0074017C">
              <w:t>2,126</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Kukes</w:t>
            </w:r>
          </w:p>
        </w:tc>
        <w:tc>
          <w:tcPr>
            <w:tcW w:w="959" w:type="dxa"/>
            <w:noWrap/>
            <w:hideMark/>
          </w:tcPr>
          <w:p w:rsidR="00640879" w:rsidRPr="0074017C" w:rsidRDefault="00640879" w:rsidP="00DC10CD">
            <w:r w:rsidRPr="0074017C">
              <w:t>839</w:t>
            </w:r>
          </w:p>
        </w:tc>
        <w:tc>
          <w:tcPr>
            <w:tcW w:w="959" w:type="dxa"/>
            <w:noWrap/>
            <w:hideMark/>
          </w:tcPr>
          <w:p w:rsidR="00640879" w:rsidRPr="0074017C" w:rsidRDefault="00640879" w:rsidP="00DC10CD">
            <w:r w:rsidRPr="0074017C">
              <w:t>779</w:t>
            </w:r>
          </w:p>
        </w:tc>
        <w:tc>
          <w:tcPr>
            <w:tcW w:w="960" w:type="dxa"/>
            <w:noWrap/>
            <w:hideMark/>
          </w:tcPr>
          <w:p w:rsidR="00640879" w:rsidRPr="0074017C" w:rsidRDefault="00640879" w:rsidP="00DC10CD">
            <w:r w:rsidRPr="0074017C">
              <w:t>897</w:t>
            </w:r>
          </w:p>
        </w:tc>
        <w:tc>
          <w:tcPr>
            <w:tcW w:w="960" w:type="dxa"/>
            <w:noWrap/>
            <w:hideMark/>
          </w:tcPr>
          <w:p w:rsidR="00640879" w:rsidRPr="0074017C" w:rsidRDefault="00640879" w:rsidP="00DC10CD">
            <w:r w:rsidRPr="0074017C">
              <w:t>1,038</w:t>
            </w:r>
          </w:p>
        </w:tc>
        <w:tc>
          <w:tcPr>
            <w:tcW w:w="960" w:type="dxa"/>
            <w:noWrap/>
            <w:hideMark/>
          </w:tcPr>
          <w:p w:rsidR="00640879" w:rsidRPr="0074017C" w:rsidRDefault="00640879" w:rsidP="00DC10CD">
            <w:r w:rsidRPr="0074017C">
              <w:t>1,177</w:t>
            </w:r>
          </w:p>
        </w:tc>
        <w:tc>
          <w:tcPr>
            <w:tcW w:w="960" w:type="dxa"/>
            <w:noWrap/>
            <w:hideMark/>
          </w:tcPr>
          <w:p w:rsidR="00640879" w:rsidRPr="0074017C" w:rsidRDefault="00640879" w:rsidP="00DC10CD">
            <w:r w:rsidRPr="0074017C">
              <w:t>1,346</w:t>
            </w:r>
          </w:p>
        </w:tc>
        <w:tc>
          <w:tcPr>
            <w:tcW w:w="960" w:type="dxa"/>
            <w:noWrap/>
            <w:hideMark/>
          </w:tcPr>
          <w:p w:rsidR="00640879" w:rsidRPr="0074017C" w:rsidRDefault="00640879" w:rsidP="00DC10CD">
            <w:r w:rsidRPr="0074017C">
              <w:t>1,518</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Lezhe</w:t>
            </w:r>
          </w:p>
        </w:tc>
        <w:tc>
          <w:tcPr>
            <w:tcW w:w="959" w:type="dxa"/>
            <w:noWrap/>
            <w:hideMark/>
          </w:tcPr>
          <w:p w:rsidR="00640879" w:rsidRPr="0074017C" w:rsidRDefault="00640879" w:rsidP="00DC10CD">
            <w:r w:rsidRPr="0074017C">
              <w:t>754</w:t>
            </w:r>
          </w:p>
        </w:tc>
        <w:tc>
          <w:tcPr>
            <w:tcW w:w="959" w:type="dxa"/>
            <w:noWrap/>
            <w:hideMark/>
          </w:tcPr>
          <w:p w:rsidR="00640879" w:rsidRPr="0074017C" w:rsidRDefault="00640879" w:rsidP="00DC10CD">
            <w:r w:rsidRPr="0074017C">
              <w:t>762</w:t>
            </w:r>
          </w:p>
        </w:tc>
        <w:tc>
          <w:tcPr>
            <w:tcW w:w="960" w:type="dxa"/>
            <w:noWrap/>
            <w:hideMark/>
          </w:tcPr>
          <w:p w:rsidR="00640879" w:rsidRPr="0074017C" w:rsidRDefault="00640879" w:rsidP="00DC10CD">
            <w:r w:rsidRPr="0074017C">
              <w:t>896</w:t>
            </w:r>
          </w:p>
        </w:tc>
        <w:tc>
          <w:tcPr>
            <w:tcW w:w="960" w:type="dxa"/>
            <w:noWrap/>
            <w:hideMark/>
          </w:tcPr>
          <w:p w:rsidR="00640879" w:rsidRPr="0074017C" w:rsidRDefault="00640879" w:rsidP="00DC10CD">
            <w:r w:rsidRPr="0074017C">
              <w:t>1,096</w:t>
            </w:r>
          </w:p>
        </w:tc>
        <w:tc>
          <w:tcPr>
            <w:tcW w:w="960" w:type="dxa"/>
            <w:noWrap/>
            <w:hideMark/>
          </w:tcPr>
          <w:p w:rsidR="00640879" w:rsidRPr="0074017C" w:rsidRDefault="00640879" w:rsidP="00DC10CD">
            <w:r w:rsidRPr="0074017C">
              <w:t>1,383</w:t>
            </w:r>
          </w:p>
        </w:tc>
        <w:tc>
          <w:tcPr>
            <w:tcW w:w="960" w:type="dxa"/>
            <w:noWrap/>
            <w:hideMark/>
          </w:tcPr>
          <w:p w:rsidR="00640879" w:rsidRPr="0074017C" w:rsidRDefault="00640879" w:rsidP="00DC10CD">
            <w:r w:rsidRPr="0074017C">
              <w:t>1,645</w:t>
            </w:r>
          </w:p>
        </w:tc>
        <w:tc>
          <w:tcPr>
            <w:tcW w:w="960" w:type="dxa"/>
            <w:noWrap/>
            <w:hideMark/>
          </w:tcPr>
          <w:p w:rsidR="00640879" w:rsidRPr="0074017C" w:rsidRDefault="00640879" w:rsidP="00DC10CD">
            <w:r w:rsidRPr="0074017C">
              <w:t>1,854</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Shkoder</w:t>
            </w:r>
          </w:p>
        </w:tc>
        <w:tc>
          <w:tcPr>
            <w:tcW w:w="959" w:type="dxa"/>
            <w:noWrap/>
            <w:hideMark/>
          </w:tcPr>
          <w:p w:rsidR="00640879" w:rsidRPr="0074017C" w:rsidRDefault="00640879" w:rsidP="00DC10CD">
            <w:r w:rsidRPr="0074017C">
              <w:t>1,044</w:t>
            </w:r>
          </w:p>
        </w:tc>
        <w:tc>
          <w:tcPr>
            <w:tcW w:w="959" w:type="dxa"/>
            <w:noWrap/>
            <w:hideMark/>
          </w:tcPr>
          <w:p w:rsidR="00640879" w:rsidRPr="0074017C" w:rsidRDefault="00640879" w:rsidP="00DC10CD">
            <w:r w:rsidRPr="0074017C">
              <w:t>954</w:t>
            </w:r>
          </w:p>
        </w:tc>
        <w:tc>
          <w:tcPr>
            <w:tcW w:w="960" w:type="dxa"/>
            <w:noWrap/>
            <w:hideMark/>
          </w:tcPr>
          <w:p w:rsidR="00640879" w:rsidRPr="0074017C" w:rsidRDefault="00640879" w:rsidP="00DC10CD">
            <w:r w:rsidRPr="0074017C">
              <w:t>1,120</w:t>
            </w:r>
          </w:p>
        </w:tc>
        <w:tc>
          <w:tcPr>
            <w:tcW w:w="960" w:type="dxa"/>
            <w:noWrap/>
            <w:hideMark/>
          </w:tcPr>
          <w:p w:rsidR="00640879" w:rsidRPr="0074017C" w:rsidRDefault="00640879" w:rsidP="00DC10CD">
            <w:r w:rsidRPr="0074017C">
              <w:t>1,315</w:t>
            </w:r>
          </w:p>
        </w:tc>
        <w:tc>
          <w:tcPr>
            <w:tcW w:w="960" w:type="dxa"/>
            <w:noWrap/>
            <w:hideMark/>
          </w:tcPr>
          <w:p w:rsidR="00640879" w:rsidRPr="0074017C" w:rsidRDefault="00640879" w:rsidP="00DC10CD">
            <w:r w:rsidRPr="0074017C">
              <w:t>1,617</w:t>
            </w:r>
          </w:p>
        </w:tc>
        <w:tc>
          <w:tcPr>
            <w:tcW w:w="960" w:type="dxa"/>
            <w:noWrap/>
            <w:hideMark/>
          </w:tcPr>
          <w:p w:rsidR="00640879" w:rsidRPr="0074017C" w:rsidRDefault="00640879" w:rsidP="00DC10CD">
            <w:r w:rsidRPr="0074017C">
              <w:t>2,053</w:t>
            </w:r>
          </w:p>
        </w:tc>
        <w:tc>
          <w:tcPr>
            <w:tcW w:w="960" w:type="dxa"/>
            <w:noWrap/>
            <w:hideMark/>
          </w:tcPr>
          <w:p w:rsidR="00640879" w:rsidRPr="0074017C" w:rsidRDefault="00640879" w:rsidP="00DC10CD">
            <w:r w:rsidRPr="0074017C">
              <w:t>2,435</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Tirana</w:t>
            </w:r>
          </w:p>
        </w:tc>
        <w:tc>
          <w:tcPr>
            <w:tcW w:w="959" w:type="dxa"/>
            <w:noWrap/>
            <w:hideMark/>
          </w:tcPr>
          <w:p w:rsidR="00640879" w:rsidRPr="0074017C" w:rsidRDefault="00640879" w:rsidP="00DC10CD">
            <w:r w:rsidRPr="0074017C">
              <w:t>2,310</w:t>
            </w:r>
          </w:p>
        </w:tc>
        <w:tc>
          <w:tcPr>
            <w:tcW w:w="959" w:type="dxa"/>
            <w:noWrap/>
            <w:hideMark/>
          </w:tcPr>
          <w:p w:rsidR="00640879" w:rsidRPr="0074017C" w:rsidRDefault="00640879" w:rsidP="00DC10CD">
            <w:r w:rsidRPr="0074017C">
              <w:t>2,322</w:t>
            </w:r>
          </w:p>
        </w:tc>
        <w:tc>
          <w:tcPr>
            <w:tcW w:w="960" w:type="dxa"/>
            <w:noWrap/>
            <w:hideMark/>
          </w:tcPr>
          <w:p w:rsidR="00640879" w:rsidRPr="0074017C" w:rsidRDefault="00640879" w:rsidP="00DC10CD">
            <w:r w:rsidRPr="0074017C">
              <w:t>2,841</w:t>
            </w:r>
          </w:p>
        </w:tc>
        <w:tc>
          <w:tcPr>
            <w:tcW w:w="960" w:type="dxa"/>
            <w:noWrap/>
            <w:hideMark/>
          </w:tcPr>
          <w:p w:rsidR="00640879" w:rsidRPr="0074017C" w:rsidRDefault="00640879" w:rsidP="00DC10CD">
            <w:r w:rsidRPr="0074017C">
              <w:t>3,212</w:t>
            </w:r>
          </w:p>
        </w:tc>
        <w:tc>
          <w:tcPr>
            <w:tcW w:w="960" w:type="dxa"/>
            <w:noWrap/>
            <w:hideMark/>
          </w:tcPr>
          <w:p w:rsidR="00640879" w:rsidRPr="0074017C" w:rsidRDefault="00640879" w:rsidP="00DC10CD">
            <w:r w:rsidRPr="0074017C">
              <w:t>4,028</w:t>
            </w:r>
          </w:p>
        </w:tc>
        <w:tc>
          <w:tcPr>
            <w:tcW w:w="960" w:type="dxa"/>
            <w:noWrap/>
            <w:hideMark/>
          </w:tcPr>
          <w:p w:rsidR="00640879" w:rsidRPr="0074017C" w:rsidRDefault="00640879" w:rsidP="00DC10CD">
            <w:r w:rsidRPr="0074017C">
              <w:t>4,548</w:t>
            </w:r>
          </w:p>
        </w:tc>
        <w:tc>
          <w:tcPr>
            <w:tcW w:w="960" w:type="dxa"/>
            <w:noWrap/>
            <w:hideMark/>
          </w:tcPr>
          <w:p w:rsidR="00640879" w:rsidRPr="0074017C" w:rsidRDefault="00640879" w:rsidP="00DC10CD">
            <w:r w:rsidRPr="0074017C">
              <w:t>5,178</w:t>
            </w:r>
          </w:p>
        </w:tc>
      </w:tr>
      <w:tr w:rsidR="00640879" w:rsidRPr="0074017C" w:rsidTr="00A93829">
        <w:trPr>
          <w:trHeight w:val="300"/>
        </w:trPr>
        <w:tc>
          <w:tcPr>
            <w:tcW w:w="2858" w:type="dxa"/>
            <w:noWrap/>
            <w:hideMark/>
          </w:tcPr>
          <w:p w:rsidR="00640879" w:rsidRPr="0074017C" w:rsidRDefault="00640879" w:rsidP="00DC10CD">
            <w:pPr>
              <w:rPr>
                <w:b/>
              </w:rPr>
            </w:pPr>
            <w:r w:rsidRPr="0074017C">
              <w:rPr>
                <w:b/>
              </w:rPr>
              <w:t>Vlore</w:t>
            </w:r>
          </w:p>
        </w:tc>
        <w:tc>
          <w:tcPr>
            <w:tcW w:w="959" w:type="dxa"/>
            <w:noWrap/>
            <w:hideMark/>
          </w:tcPr>
          <w:p w:rsidR="00640879" w:rsidRPr="0074017C" w:rsidRDefault="00640879" w:rsidP="00DC10CD">
            <w:r w:rsidRPr="0074017C">
              <w:t>1,078</w:t>
            </w:r>
          </w:p>
        </w:tc>
        <w:tc>
          <w:tcPr>
            <w:tcW w:w="959" w:type="dxa"/>
            <w:noWrap/>
            <w:hideMark/>
          </w:tcPr>
          <w:p w:rsidR="00640879" w:rsidRPr="0074017C" w:rsidRDefault="00640879" w:rsidP="00DC10CD">
            <w:r w:rsidRPr="0074017C">
              <w:t>1,034</w:t>
            </w:r>
          </w:p>
        </w:tc>
        <w:tc>
          <w:tcPr>
            <w:tcW w:w="960" w:type="dxa"/>
            <w:noWrap/>
            <w:hideMark/>
          </w:tcPr>
          <w:p w:rsidR="00640879" w:rsidRPr="0074017C" w:rsidRDefault="00640879" w:rsidP="00DC10CD">
            <w:r w:rsidRPr="0074017C">
              <w:t>1,236</w:t>
            </w:r>
          </w:p>
        </w:tc>
        <w:tc>
          <w:tcPr>
            <w:tcW w:w="960" w:type="dxa"/>
            <w:noWrap/>
            <w:hideMark/>
          </w:tcPr>
          <w:p w:rsidR="00640879" w:rsidRPr="0074017C" w:rsidRDefault="00640879" w:rsidP="00DC10CD">
            <w:r w:rsidRPr="0074017C">
              <w:t>1,429</w:t>
            </w:r>
          </w:p>
        </w:tc>
        <w:tc>
          <w:tcPr>
            <w:tcW w:w="960" w:type="dxa"/>
            <w:noWrap/>
            <w:hideMark/>
          </w:tcPr>
          <w:p w:rsidR="00640879" w:rsidRPr="0074017C" w:rsidRDefault="00640879" w:rsidP="00DC10CD">
            <w:r w:rsidRPr="0074017C">
              <w:t>1,667</w:t>
            </w:r>
          </w:p>
        </w:tc>
        <w:tc>
          <w:tcPr>
            <w:tcW w:w="960" w:type="dxa"/>
            <w:noWrap/>
            <w:hideMark/>
          </w:tcPr>
          <w:p w:rsidR="00640879" w:rsidRPr="0074017C" w:rsidRDefault="00640879" w:rsidP="00DC10CD">
            <w:r w:rsidRPr="0074017C">
              <w:t>1,995</w:t>
            </w:r>
          </w:p>
        </w:tc>
        <w:tc>
          <w:tcPr>
            <w:tcW w:w="960" w:type="dxa"/>
            <w:noWrap/>
            <w:hideMark/>
          </w:tcPr>
          <w:p w:rsidR="00640879" w:rsidRPr="0074017C" w:rsidRDefault="00640879" w:rsidP="00DC10CD">
            <w:r w:rsidRPr="0074017C">
              <w:t>2,348</w:t>
            </w:r>
          </w:p>
        </w:tc>
      </w:tr>
    </w:tbl>
    <w:p w:rsidR="00C30431" w:rsidRPr="0074017C" w:rsidRDefault="00DD004A" w:rsidP="00DC10CD">
      <w:pPr>
        <w:spacing w:after="0" w:line="240" w:lineRule="auto"/>
      </w:pPr>
      <w:r w:rsidRPr="0074017C">
        <w:t>Source: HIF</w:t>
      </w:r>
      <w:r w:rsidR="00640879" w:rsidRPr="0074017C">
        <w:t>&amp;Instat</w:t>
      </w:r>
    </w:p>
    <w:p w:rsidR="00C30431" w:rsidRPr="0074017C" w:rsidRDefault="00C30431" w:rsidP="00DC10CD">
      <w:pPr>
        <w:spacing w:after="0" w:line="240" w:lineRule="auto"/>
        <w:rPr>
          <w:b/>
        </w:rPr>
      </w:pPr>
    </w:p>
    <w:p w:rsidR="00A64463" w:rsidRPr="0074017C" w:rsidRDefault="00055CEE" w:rsidP="00DC10CD">
      <w:pPr>
        <w:spacing w:after="0" w:line="240" w:lineRule="auto"/>
        <w:jc w:val="both"/>
        <w:rPr>
          <w:b/>
        </w:rPr>
      </w:pPr>
      <w:r w:rsidRPr="0074017C">
        <w:t>Albania imports most of its drugs, however there are a few domestic manufacturers that produce a number of essential drugs</w:t>
      </w:r>
      <w:r w:rsidR="00B30A5F" w:rsidRPr="0074017C">
        <w:rPr>
          <w:rStyle w:val="FootnoteReference"/>
        </w:rPr>
        <w:footnoteReference w:id="8"/>
      </w:r>
      <w:r w:rsidRPr="0074017C">
        <w:t xml:space="preserve">. </w:t>
      </w:r>
      <w:r w:rsidR="00EC48DD" w:rsidRPr="0074017C">
        <w:t xml:space="preserve">According to the </w:t>
      </w:r>
      <w:r w:rsidR="000C535A" w:rsidRPr="0074017C">
        <w:t>MoH</w:t>
      </w:r>
      <w:r w:rsidR="00EC48DD" w:rsidRPr="0074017C">
        <w:t xml:space="preserve">, around 50 market authorization holders and 30 wholesalers operate in the pharmaceutical market. The number of wholesaler seems fairly high having in mind both the size of the population and the market, when compared to most western EU countries. </w:t>
      </w:r>
      <w:r w:rsidR="006C7865" w:rsidRPr="0074017C">
        <w:t>Out of a total of 1600 pharmacies in A</w:t>
      </w:r>
      <w:r w:rsidR="000C535A" w:rsidRPr="0074017C">
        <w:t>l</w:t>
      </w:r>
      <w:r w:rsidR="006C7865" w:rsidRPr="0074017C">
        <w:t xml:space="preserve">bania, 986 are contracted by the HIF to dispense reimbursed medicines. </w:t>
      </w:r>
      <w:r w:rsidR="00EC48DD" w:rsidRPr="0074017C">
        <w:t xml:space="preserve">Pharmacies generally operate as single entities. Several pharmacy chains are also present in the </w:t>
      </w:r>
      <w:r w:rsidR="000C535A" w:rsidRPr="0074017C">
        <w:t>market, the largest being Farma</w:t>
      </w:r>
      <w:r w:rsidR="00EC48DD" w:rsidRPr="0074017C">
        <w:t>Net Albania.</w:t>
      </w:r>
    </w:p>
    <w:p w:rsidR="00640879" w:rsidRPr="0074017C" w:rsidRDefault="00640879" w:rsidP="00DC10CD">
      <w:pPr>
        <w:pStyle w:val="ListParagraph"/>
        <w:tabs>
          <w:tab w:val="left" w:pos="0"/>
        </w:tabs>
        <w:spacing w:after="0" w:line="240" w:lineRule="auto"/>
        <w:ind w:left="0"/>
        <w:jc w:val="both"/>
        <w:rPr>
          <w:b/>
        </w:rPr>
      </w:pPr>
    </w:p>
    <w:p w:rsidR="000C535A" w:rsidRPr="0074017C" w:rsidRDefault="006C7865" w:rsidP="00DC10CD">
      <w:pPr>
        <w:spacing w:after="0" w:line="240" w:lineRule="auto"/>
        <w:jc w:val="both"/>
      </w:pPr>
      <w:r w:rsidRPr="0074017C">
        <w:t xml:space="preserve">For many of the reimbursed drugs there are multiple brand names in the market, and the difference between the lowest and highest retail price can be </w:t>
      </w:r>
      <w:r w:rsidR="0074017C">
        <w:t>seventeen fold</w:t>
      </w:r>
      <w:r w:rsidR="000C1BF8" w:rsidRPr="0074017C">
        <w:t>.</w:t>
      </w:r>
      <w:r w:rsidRPr="0074017C">
        <w:t>This lead</w:t>
      </w:r>
      <w:r w:rsidR="000C535A" w:rsidRPr="0074017C">
        <w:t>s</w:t>
      </w:r>
      <w:r w:rsidRPr="0074017C">
        <w:t xml:space="preserve"> to </w:t>
      </w:r>
      <w:r w:rsidR="00200B71" w:rsidRPr="0074017C">
        <w:t xml:space="preserve">unnecessarily </w:t>
      </w:r>
      <w:r w:rsidRPr="0074017C">
        <w:t xml:space="preserve">high co-payments for patients </w:t>
      </w:r>
      <w:r w:rsidR="000C535A" w:rsidRPr="0074017C">
        <w:t>as</w:t>
      </w:r>
      <w:r w:rsidRPr="0074017C">
        <w:t xml:space="preserve"> they </w:t>
      </w:r>
      <w:r w:rsidR="000C535A" w:rsidRPr="0074017C">
        <w:t xml:space="preserve">commonly </w:t>
      </w:r>
      <w:r w:rsidRPr="0074017C">
        <w:t xml:space="preserve">opt </w:t>
      </w:r>
      <w:r w:rsidR="000C535A" w:rsidRPr="0074017C">
        <w:t xml:space="preserve">(as </w:t>
      </w:r>
      <w:r w:rsidRPr="0074017C">
        <w:t>are recommended by their doctor or the pharmacist</w:t>
      </w:r>
      <w:r w:rsidR="000C535A" w:rsidRPr="0074017C">
        <w:t>)</w:t>
      </w:r>
      <w:r w:rsidRPr="0074017C">
        <w:t xml:space="preserve"> to purchase </w:t>
      </w:r>
      <w:r w:rsidR="000C535A" w:rsidRPr="0074017C">
        <w:t>the more expensive</w:t>
      </w:r>
      <w:r w:rsidRPr="0074017C">
        <w:t xml:space="preserve"> brand</w:t>
      </w:r>
      <w:r w:rsidR="000C535A" w:rsidRPr="0074017C">
        <w:t>s</w:t>
      </w:r>
      <w:r w:rsidRPr="0074017C">
        <w:t>.</w:t>
      </w:r>
    </w:p>
    <w:p w:rsidR="000C535A" w:rsidRPr="0074017C" w:rsidRDefault="000C535A" w:rsidP="00DC10CD">
      <w:pPr>
        <w:spacing w:after="0" w:line="240" w:lineRule="auto"/>
        <w:jc w:val="both"/>
      </w:pPr>
    </w:p>
    <w:p w:rsidR="006C7865" w:rsidRPr="0074017C" w:rsidRDefault="00E62E87" w:rsidP="00DC10CD">
      <w:pPr>
        <w:spacing w:after="0" w:line="240" w:lineRule="auto"/>
        <w:jc w:val="both"/>
      </w:pPr>
      <w:r w:rsidRPr="0074017C">
        <w:t xml:space="preserve">Albania operates a </w:t>
      </w:r>
      <w:r w:rsidR="00CD63A0" w:rsidRPr="0074017C">
        <w:t>flat</w:t>
      </w:r>
      <w:r w:rsidRPr="0074017C">
        <w:t xml:space="preserve"> markup schedule</w:t>
      </w:r>
      <w:r w:rsidR="00DF24C0" w:rsidRPr="0074017C">
        <w:t>, with different markups for several classes of medicines</w:t>
      </w:r>
      <w:r w:rsidRPr="0074017C">
        <w:t>.</w:t>
      </w:r>
      <w:r w:rsidR="006C7865" w:rsidRPr="0074017C">
        <w:t xml:space="preserve"> The extent to which the markup schedule is actually implemented requires further looking into and stricter control. The director of the National Center for Drug control reported instances in which drugs were sold to wholesalers at prices far lower than the declared</w:t>
      </w:r>
      <w:r w:rsidR="000C535A" w:rsidRPr="0074017C">
        <w:t>/regulated</w:t>
      </w:r>
      <w:r w:rsidR="006C7865" w:rsidRPr="0074017C">
        <w:t xml:space="preserve"> CIF price </w:t>
      </w:r>
      <w:r w:rsidR="00200B71" w:rsidRPr="0074017C">
        <w:t xml:space="preserve"> (up to 69% </w:t>
      </w:r>
      <w:r w:rsidR="000C535A" w:rsidRPr="0074017C">
        <w:t xml:space="preserve">discounts </w:t>
      </w:r>
      <w:r w:rsidR="00200B71" w:rsidRPr="0074017C">
        <w:t xml:space="preserve">for metronidazole) </w:t>
      </w:r>
      <w:r w:rsidR="006C7865" w:rsidRPr="0074017C">
        <w:t xml:space="preserve">– which would suggest that </w:t>
      </w:r>
      <w:r w:rsidR="00DF24C0" w:rsidRPr="0074017C">
        <w:t xml:space="preserve">distributors engage in </w:t>
      </w:r>
      <w:r w:rsidR="006C7865" w:rsidRPr="0074017C">
        <w:t>promotional actions to encourage dispensing of more expensive medicines.</w:t>
      </w:r>
    </w:p>
    <w:p w:rsidR="00AB2ECE" w:rsidRPr="0074017C" w:rsidRDefault="00AB2ECE" w:rsidP="00DC10CD">
      <w:pPr>
        <w:pStyle w:val="ListParagraph"/>
        <w:tabs>
          <w:tab w:val="left" w:pos="0"/>
        </w:tabs>
        <w:spacing w:after="0" w:line="240" w:lineRule="auto"/>
        <w:ind w:left="0"/>
        <w:jc w:val="both"/>
      </w:pPr>
    </w:p>
    <w:p w:rsidR="00875271" w:rsidRPr="0074017C" w:rsidRDefault="00875271" w:rsidP="00DC10CD">
      <w:pPr>
        <w:pStyle w:val="ListParagraph"/>
        <w:tabs>
          <w:tab w:val="left" w:pos="0"/>
        </w:tabs>
        <w:spacing w:after="0" w:line="240" w:lineRule="auto"/>
        <w:ind w:left="0"/>
        <w:jc w:val="both"/>
      </w:pPr>
    </w:p>
    <w:p w:rsidR="00AB2ECE" w:rsidRPr="0074017C" w:rsidRDefault="00875271" w:rsidP="00DC10CD">
      <w:pPr>
        <w:pStyle w:val="ListParagraph"/>
        <w:tabs>
          <w:tab w:val="left" w:pos="0"/>
        </w:tabs>
        <w:spacing w:after="0" w:line="240" w:lineRule="auto"/>
        <w:ind w:left="0"/>
        <w:jc w:val="both"/>
      </w:pPr>
      <w:r w:rsidRPr="0074017C">
        <w:t>Table 4</w:t>
      </w:r>
      <w:r w:rsidR="00A93829" w:rsidRPr="0074017C">
        <w:t xml:space="preserve"> – Albanian markup schedule for medicines</w:t>
      </w:r>
    </w:p>
    <w:tbl>
      <w:tblPr>
        <w:tblStyle w:val="TableGrid"/>
        <w:tblW w:w="5000" w:type="pct"/>
        <w:tblLook w:val="04A0"/>
      </w:tblPr>
      <w:tblGrid>
        <w:gridCol w:w="3109"/>
        <w:gridCol w:w="1617"/>
        <w:gridCol w:w="1618"/>
        <w:gridCol w:w="1616"/>
        <w:gridCol w:w="1616"/>
      </w:tblGrid>
      <w:tr w:rsidR="00AB2ECE" w:rsidRPr="0074017C" w:rsidTr="00312CCE">
        <w:tc>
          <w:tcPr>
            <w:tcW w:w="1623" w:type="pct"/>
          </w:tcPr>
          <w:p w:rsidR="00AB2ECE" w:rsidRPr="0074017C" w:rsidRDefault="00AB2ECE" w:rsidP="00DC10CD"/>
        </w:tc>
        <w:tc>
          <w:tcPr>
            <w:tcW w:w="1689" w:type="pct"/>
            <w:gridSpan w:val="2"/>
          </w:tcPr>
          <w:p w:rsidR="00AB2ECE" w:rsidRPr="0074017C" w:rsidRDefault="00AB2ECE" w:rsidP="00DC10CD">
            <w:pPr>
              <w:rPr>
                <w:b/>
              </w:rPr>
            </w:pPr>
            <w:r w:rsidRPr="0074017C">
              <w:rPr>
                <w:b/>
              </w:rPr>
              <w:t>Markups before April 2014</w:t>
            </w:r>
          </w:p>
        </w:tc>
        <w:tc>
          <w:tcPr>
            <w:tcW w:w="1688" w:type="pct"/>
            <w:gridSpan w:val="2"/>
          </w:tcPr>
          <w:p w:rsidR="00AB2ECE" w:rsidRPr="0074017C" w:rsidRDefault="00AB2ECE" w:rsidP="00DC10CD">
            <w:pPr>
              <w:rPr>
                <w:b/>
              </w:rPr>
            </w:pPr>
            <w:r w:rsidRPr="0074017C">
              <w:rPr>
                <w:b/>
              </w:rPr>
              <w:t>Markups after April 2014</w:t>
            </w:r>
          </w:p>
        </w:tc>
      </w:tr>
      <w:tr w:rsidR="00AB2ECE" w:rsidRPr="0074017C" w:rsidTr="00B325B0">
        <w:tc>
          <w:tcPr>
            <w:tcW w:w="1623" w:type="pct"/>
            <w:shd w:val="clear" w:color="auto" w:fill="auto"/>
          </w:tcPr>
          <w:p w:rsidR="00AB2ECE" w:rsidRPr="0074017C" w:rsidRDefault="00AB2ECE" w:rsidP="00DC10CD"/>
        </w:tc>
        <w:tc>
          <w:tcPr>
            <w:tcW w:w="844" w:type="pct"/>
            <w:shd w:val="clear" w:color="auto" w:fill="auto"/>
          </w:tcPr>
          <w:p w:rsidR="00AB2ECE" w:rsidRPr="0074017C" w:rsidRDefault="00AB2ECE" w:rsidP="00DC10CD">
            <w:pPr>
              <w:rPr>
                <w:b/>
              </w:rPr>
            </w:pPr>
            <w:r w:rsidRPr="0074017C">
              <w:rPr>
                <w:b/>
              </w:rPr>
              <w:t>Wholesale markup</w:t>
            </w:r>
          </w:p>
        </w:tc>
        <w:tc>
          <w:tcPr>
            <w:tcW w:w="845" w:type="pct"/>
            <w:shd w:val="clear" w:color="auto" w:fill="auto"/>
          </w:tcPr>
          <w:p w:rsidR="00AB2ECE" w:rsidRPr="0074017C" w:rsidRDefault="00AB2ECE" w:rsidP="00DC10CD">
            <w:pPr>
              <w:rPr>
                <w:b/>
              </w:rPr>
            </w:pPr>
            <w:r w:rsidRPr="0074017C">
              <w:rPr>
                <w:b/>
              </w:rPr>
              <w:t>Retail pharmacy markup</w:t>
            </w:r>
          </w:p>
        </w:tc>
        <w:tc>
          <w:tcPr>
            <w:tcW w:w="844" w:type="pct"/>
            <w:shd w:val="clear" w:color="auto" w:fill="auto"/>
          </w:tcPr>
          <w:p w:rsidR="00AB2ECE" w:rsidRPr="0074017C" w:rsidRDefault="00AB2ECE" w:rsidP="00DC10CD">
            <w:pPr>
              <w:rPr>
                <w:b/>
              </w:rPr>
            </w:pPr>
            <w:r w:rsidRPr="0074017C">
              <w:rPr>
                <w:b/>
              </w:rPr>
              <w:t>Wholesale markup</w:t>
            </w:r>
          </w:p>
        </w:tc>
        <w:tc>
          <w:tcPr>
            <w:tcW w:w="844" w:type="pct"/>
            <w:shd w:val="clear" w:color="auto" w:fill="auto"/>
          </w:tcPr>
          <w:p w:rsidR="00AB2ECE" w:rsidRPr="0074017C" w:rsidRDefault="00AB2ECE" w:rsidP="00DC10CD">
            <w:pPr>
              <w:rPr>
                <w:b/>
              </w:rPr>
            </w:pPr>
            <w:r w:rsidRPr="0074017C">
              <w:rPr>
                <w:b/>
              </w:rPr>
              <w:t>Retail pharmacy markup</w:t>
            </w:r>
          </w:p>
        </w:tc>
      </w:tr>
      <w:tr w:rsidR="00AB2ECE" w:rsidRPr="0074017C" w:rsidTr="00B325B0">
        <w:tc>
          <w:tcPr>
            <w:tcW w:w="1623" w:type="pct"/>
            <w:shd w:val="clear" w:color="auto" w:fill="auto"/>
          </w:tcPr>
          <w:p w:rsidR="00AB2ECE" w:rsidRPr="0074017C" w:rsidRDefault="00AB2ECE" w:rsidP="00DC10CD">
            <w:pPr>
              <w:rPr>
                <w:b/>
              </w:rPr>
            </w:pPr>
            <w:r w:rsidRPr="0074017C">
              <w:rPr>
                <w:b/>
              </w:rPr>
              <w:t>High price, supply-controlled drugs (for hospital use only)</w:t>
            </w:r>
            <w:r w:rsidRPr="0074017C">
              <w:rPr>
                <w:b/>
                <w:vertAlign w:val="superscript"/>
              </w:rPr>
              <w:footnoteReference w:id="9"/>
            </w:r>
          </w:p>
        </w:tc>
        <w:tc>
          <w:tcPr>
            <w:tcW w:w="844" w:type="pct"/>
            <w:shd w:val="clear" w:color="auto" w:fill="auto"/>
          </w:tcPr>
          <w:p w:rsidR="00AB2ECE" w:rsidRPr="0074017C" w:rsidRDefault="00AB2ECE" w:rsidP="00DC10CD">
            <w:r w:rsidRPr="0074017C">
              <w:t>6%</w:t>
            </w:r>
          </w:p>
        </w:tc>
        <w:tc>
          <w:tcPr>
            <w:tcW w:w="845" w:type="pct"/>
            <w:shd w:val="clear" w:color="auto" w:fill="auto"/>
          </w:tcPr>
          <w:p w:rsidR="00AB2ECE" w:rsidRPr="0074017C" w:rsidRDefault="00AB2ECE" w:rsidP="00DC10CD">
            <w:r w:rsidRPr="0074017C">
              <w:t>--</w:t>
            </w:r>
          </w:p>
        </w:tc>
        <w:tc>
          <w:tcPr>
            <w:tcW w:w="844" w:type="pct"/>
            <w:shd w:val="clear" w:color="auto" w:fill="auto"/>
          </w:tcPr>
          <w:p w:rsidR="00AB2ECE" w:rsidRPr="0074017C" w:rsidRDefault="00AB2ECE" w:rsidP="00DC10CD">
            <w:r w:rsidRPr="0074017C">
              <w:t>5%</w:t>
            </w:r>
          </w:p>
        </w:tc>
        <w:tc>
          <w:tcPr>
            <w:tcW w:w="844" w:type="pct"/>
            <w:shd w:val="clear" w:color="auto" w:fill="auto"/>
          </w:tcPr>
          <w:p w:rsidR="00AB2ECE" w:rsidRPr="0074017C" w:rsidRDefault="00AB2ECE" w:rsidP="00DC10CD">
            <w:r w:rsidRPr="0074017C">
              <w:t>--</w:t>
            </w:r>
          </w:p>
        </w:tc>
      </w:tr>
      <w:tr w:rsidR="00AB2ECE" w:rsidRPr="0074017C" w:rsidTr="00B325B0">
        <w:tc>
          <w:tcPr>
            <w:tcW w:w="1623" w:type="pct"/>
            <w:shd w:val="clear" w:color="auto" w:fill="auto"/>
          </w:tcPr>
          <w:p w:rsidR="00AB2ECE" w:rsidRPr="0074017C" w:rsidRDefault="00AB2ECE" w:rsidP="00DC10CD">
            <w:pPr>
              <w:rPr>
                <w:b/>
              </w:rPr>
            </w:pPr>
            <w:r w:rsidRPr="0074017C">
              <w:rPr>
                <w:b/>
              </w:rPr>
              <w:t xml:space="preserve">High price drugs (outpatient) </w:t>
            </w:r>
          </w:p>
        </w:tc>
        <w:tc>
          <w:tcPr>
            <w:tcW w:w="844" w:type="pct"/>
            <w:shd w:val="clear" w:color="auto" w:fill="auto"/>
          </w:tcPr>
          <w:p w:rsidR="00AB2ECE" w:rsidRPr="0074017C" w:rsidRDefault="00AB2ECE" w:rsidP="00DC10CD">
            <w:r w:rsidRPr="0074017C">
              <w:t>6%</w:t>
            </w:r>
          </w:p>
        </w:tc>
        <w:tc>
          <w:tcPr>
            <w:tcW w:w="845" w:type="pct"/>
            <w:shd w:val="clear" w:color="auto" w:fill="auto"/>
          </w:tcPr>
          <w:p w:rsidR="00AB2ECE" w:rsidRPr="0074017C" w:rsidRDefault="00AB2ECE" w:rsidP="00DC10CD">
            <w:r w:rsidRPr="0074017C">
              <w:t>12%</w:t>
            </w:r>
          </w:p>
        </w:tc>
        <w:tc>
          <w:tcPr>
            <w:tcW w:w="844" w:type="pct"/>
            <w:shd w:val="clear" w:color="auto" w:fill="auto"/>
          </w:tcPr>
          <w:p w:rsidR="00AB2ECE" w:rsidRPr="0074017C" w:rsidRDefault="007177EE" w:rsidP="00DC10CD">
            <w:r w:rsidRPr="0074017C">
              <w:t>5,5%</w:t>
            </w:r>
          </w:p>
        </w:tc>
        <w:tc>
          <w:tcPr>
            <w:tcW w:w="844" w:type="pct"/>
            <w:shd w:val="clear" w:color="auto" w:fill="auto"/>
          </w:tcPr>
          <w:p w:rsidR="00AB2ECE" w:rsidRPr="0074017C" w:rsidRDefault="007177EE" w:rsidP="00DC10CD">
            <w:r w:rsidRPr="0074017C">
              <w:t>--</w:t>
            </w:r>
          </w:p>
        </w:tc>
      </w:tr>
      <w:tr w:rsidR="00AB2ECE" w:rsidRPr="0074017C" w:rsidTr="00312CCE">
        <w:tc>
          <w:tcPr>
            <w:tcW w:w="1623" w:type="pct"/>
          </w:tcPr>
          <w:p w:rsidR="00AB2ECE" w:rsidRPr="0074017C" w:rsidRDefault="00AB2ECE" w:rsidP="00DC10CD">
            <w:pPr>
              <w:rPr>
                <w:b/>
              </w:rPr>
            </w:pPr>
            <w:r w:rsidRPr="0074017C">
              <w:rPr>
                <w:b/>
              </w:rPr>
              <w:t>Majority of drugs on reimbursement list</w:t>
            </w:r>
          </w:p>
        </w:tc>
        <w:tc>
          <w:tcPr>
            <w:tcW w:w="844" w:type="pct"/>
          </w:tcPr>
          <w:p w:rsidR="00AB2ECE" w:rsidRPr="0074017C" w:rsidRDefault="00AB2ECE" w:rsidP="00DC10CD">
            <w:r w:rsidRPr="0074017C">
              <w:t>10%</w:t>
            </w:r>
          </w:p>
        </w:tc>
        <w:tc>
          <w:tcPr>
            <w:tcW w:w="845" w:type="pct"/>
          </w:tcPr>
          <w:p w:rsidR="00AB2ECE" w:rsidRPr="0074017C" w:rsidRDefault="00AB2ECE" w:rsidP="00DC10CD">
            <w:r w:rsidRPr="0074017C">
              <w:t>26%</w:t>
            </w:r>
          </w:p>
        </w:tc>
        <w:tc>
          <w:tcPr>
            <w:tcW w:w="844" w:type="pct"/>
          </w:tcPr>
          <w:p w:rsidR="00AB2ECE" w:rsidRPr="0074017C" w:rsidRDefault="00AB2ECE" w:rsidP="00DC10CD">
            <w:r w:rsidRPr="0074017C">
              <w:t>8%</w:t>
            </w:r>
          </w:p>
        </w:tc>
        <w:tc>
          <w:tcPr>
            <w:tcW w:w="844" w:type="pct"/>
          </w:tcPr>
          <w:p w:rsidR="00AB2ECE" w:rsidRPr="0074017C" w:rsidRDefault="00AB2ECE" w:rsidP="00DC10CD">
            <w:r w:rsidRPr="0074017C">
              <w:t>24%</w:t>
            </w:r>
          </w:p>
        </w:tc>
      </w:tr>
      <w:tr w:rsidR="00AB2ECE" w:rsidRPr="0074017C" w:rsidTr="00312CCE">
        <w:tc>
          <w:tcPr>
            <w:tcW w:w="1623" w:type="pct"/>
          </w:tcPr>
          <w:p w:rsidR="00AB2ECE" w:rsidRPr="0074017C" w:rsidRDefault="00AB2ECE" w:rsidP="00DC10CD">
            <w:pPr>
              <w:rPr>
                <w:b/>
              </w:rPr>
            </w:pPr>
            <w:r w:rsidRPr="0074017C">
              <w:rPr>
                <w:b/>
              </w:rPr>
              <w:t>Drugs not on reimbursement list</w:t>
            </w:r>
          </w:p>
        </w:tc>
        <w:tc>
          <w:tcPr>
            <w:tcW w:w="844" w:type="pct"/>
          </w:tcPr>
          <w:p w:rsidR="00AB2ECE" w:rsidRPr="0074017C" w:rsidRDefault="00AB2ECE" w:rsidP="00DC10CD">
            <w:r w:rsidRPr="0074017C">
              <w:t>14%</w:t>
            </w:r>
          </w:p>
        </w:tc>
        <w:tc>
          <w:tcPr>
            <w:tcW w:w="845" w:type="pct"/>
          </w:tcPr>
          <w:p w:rsidR="00AB2ECE" w:rsidRPr="0074017C" w:rsidRDefault="00AB2ECE" w:rsidP="00DC10CD">
            <w:r w:rsidRPr="0074017C">
              <w:t>29%</w:t>
            </w:r>
          </w:p>
        </w:tc>
        <w:tc>
          <w:tcPr>
            <w:tcW w:w="844" w:type="pct"/>
          </w:tcPr>
          <w:p w:rsidR="00AB2ECE" w:rsidRPr="0074017C" w:rsidRDefault="00AB2ECE" w:rsidP="00DC10CD">
            <w:r w:rsidRPr="0074017C">
              <w:t>11%</w:t>
            </w:r>
          </w:p>
        </w:tc>
        <w:tc>
          <w:tcPr>
            <w:tcW w:w="844" w:type="pct"/>
          </w:tcPr>
          <w:p w:rsidR="00AB2ECE" w:rsidRPr="0074017C" w:rsidRDefault="00AB2ECE" w:rsidP="00DC10CD">
            <w:r w:rsidRPr="0074017C">
              <w:t>25%</w:t>
            </w:r>
          </w:p>
        </w:tc>
      </w:tr>
    </w:tbl>
    <w:p w:rsidR="00AB2ECE" w:rsidRPr="0074017C" w:rsidRDefault="00AB2ECE" w:rsidP="00DC10CD">
      <w:pPr>
        <w:pStyle w:val="ListParagraph"/>
        <w:tabs>
          <w:tab w:val="left" w:pos="0"/>
        </w:tabs>
        <w:spacing w:after="0" w:line="240" w:lineRule="auto"/>
        <w:ind w:left="0"/>
        <w:jc w:val="both"/>
      </w:pPr>
    </w:p>
    <w:p w:rsidR="00AB2ECE" w:rsidRPr="0074017C" w:rsidRDefault="00AB2ECE" w:rsidP="00DC10CD">
      <w:pPr>
        <w:pStyle w:val="ListParagraph"/>
        <w:tabs>
          <w:tab w:val="left" w:pos="0"/>
        </w:tabs>
        <w:spacing w:after="0" w:line="240" w:lineRule="auto"/>
        <w:ind w:left="0"/>
        <w:jc w:val="both"/>
      </w:pPr>
      <w:r w:rsidRPr="0074017C">
        <w:lastRenderedPageBreak/>
        <w:t xml:space="preserve">VAT was until April 2014 charged on all medicines (both reimbursed and non reimbursed), but this is no longer the case. Wholesale and retail markups were decreased in April 2014. Regardless, wholesale markups remain high compared to EU 27. </w:t>
      </w:r>
    </w:p>
    <w:p w:rsidR="00AB2ECE" w:rsidRPr="0074017C" w:rsidRDefault="00AB2ECE" w:rsidP="00DC10CD">
      <w:pPr>
        <w:spacing w:after="0" w:line="240" w:lineRule="auto"/>
      </w:pPr>
    </w:p>
    <w:p w:rsidR="003526BC" w:rsidRPr="0074017C" w:rsidRDefault="003526BC" w:rsidP="00DC10CD">
      <w:pPr>
        <w:pStyle w:val="ListParagraph"/>
        <w:tabs>
          <w:tab w:val="left" w:pos="0"/>
        </w:tabs>
        <w:spacing w:after="0" w:line="240" w:lineRule="auto"/>
        <w:ind w:left="0"/>
        <w:jc w:val="both"/>
      </w:pPr>
    </w:p>
    <w:p w:rsidR="00AB2ECE" w:rsidRPr="0074017C" w:rsidRDefault="00875271" w:rsidP="00DC10CD">
      <w:pPr>
        <w:pStyle w:val="ListParagraph"/>
        <w:tabs>
          <w:tab w:val="left" w:pos="0"/>
        </w:tabs>
        <w:spacing w:after="0" w:line="240" w:lineRule="auto"/>
        <w:ind w:left="0"/>
        <w:jc w:val="both"/>
      </w:pPr>
      <w:r w:rsidRPr="0074017C">
        <w:t>Table 5</w:t>
      </w:r>
      <w:r w:rsidR="00AB2ECE" w:rsidRPr="0074017C">
        <w:rPr>
          <w:rStyle w:val="FootnoteReference"/>
        </w:rPr>
        <w:footnoteReference w:id="10"/>
      </w:r>
      <w:r w:rsidR="00A93829" w:rsidRPr="0074017C">
        <w:t xml:space="preserve"> - Average wholesale margins in EU countries</w:t>
      </w:r>
    </w:p>
    <w:tbl>
      <w:tblPr>
        <w:tblStyle w:val="TableGrid"/>
        <w:tblW w:w="0" w:type="auto"/>
        <w:tblLook w:val="04A0"/>
      </w:tblPr>
      <w:tblGrid>
        <w:gridCol w:w="5868"/>
        <w:gridCol w:w="3708"/>
      </w:tblGrid>
      <w:tr w:rsidR="003526BC" w:rsidRPr="0074017C" w:rsidTr="003526BC">
        <w:tc>
          <w:tcPr>
            <w:tcW w:w="5868" w:type="dxa"/>
          </w:tcPr>
          <w:p w:rsidR="003526BC" w:rsidRPr="0074017C" w:rsidRDefault="003526BC" w:rsidP="00DC10CD">
            <w:pPr>
              <w:pStyle w:val="ListParagraph"/>
              <w:tabs>
                <w:tab w:val="left" w:pos="0"/>
              </w:tabs>
              <w:ind w:left="0"/>
              <w:jc w:val="both"/>
              <w:rPr>
                <w:b/>
              </w:rPr>
            </w:pPr>
            <w:r w:rsidRPr="0074017C">
              <w:rPr>
                <w:b/>
              </w:rPr>
              <w:t>Country</w:t>
            </w:r>
          </w:p>
        </w:tc>
        <w:tc>
          <w:tcPr>
            <w:tcW w:w="3708" w:type="dxa"/>
          </w:tcPr>
          <w:p w:rsidR="003526BC" w:rsidRPr="0074017C" w:rsidRDefault="003526BC" w:rsidP="00DC10CD">
            <w:pPr>
              <w:pStyle w:val="ListParagraph"/>
              <w:tabs>
                <w:tab w:val="left" w:pos="0"/>
              </w:tabs>
              <w:ind w:left="0"/>
              <w:jc w:val="both"/>
              <w:rPr>
                <w:b/>
              </w:rPr>
            </w:pPr>
            <w:r w:rsidRPr="0074017C">
              <w:rPr>
                <w:b/>
              </w:rPr>
              <w:t>Average Wholesale Margin/Year</w:t>
            </w:r>
          </w:p>
        </w:tc>
      </w:tr>
      <w:tr w:rsidR="003526BC" w:rsidRPr="0074017C" w:rsidTr="003526BC">
        <w:tc>
          <w:tcPr>
            <w:tcW w:w="5868" w:type="dxa"/>
          </w:tcPr>
          <w:p w:rsidR="003526BC" w:rsidRPr="0074017C" w:rsidRDefault="003526BC" w:rsidP="00DC10CD">
            <w:pPr>
              <w:pStyle w:val="ListParagraph"/>
              <w:tabs>
                <w:tab w:val="left" w:pos="0"/>
              </w:tabs>
              <w:ind w:left="0"/>
              <w:jc w:val="both"/>
            </w:pPr>
            <w:r w:rsidRPr="0074017C">
              <w:t xml:space="preserve">Austria </w:t>
            </w:r>
          </w:p>
        </w:tc>
        <w:tc>
          <w:tcPr>
            <w:tcW w:w="3708" w:type="dxa"/>
          </w:tcPr>
          <w:p w:rsidR="003526BC" w:rsidRPr="0074017C" w:rsidRDefault="00AB2ECE" w:rsidP="00DC10CD">
            <w:pPr>
              <w:pStyle w:val="ListParagraph"/>
              <w:tabs>
                <w:tab w:val="left" w:pos="0"/>
              </w:tabs>
              <w:ind w:left="0"/>
              <w:jc w:val="both"/>
            </w:pPr>
            <w:r w:rsidRPr="0074017C">
              <w:t>6,5-13,4% (2008)</w:t>
            </w:r>
          </w:p>
        </w:tc>
      </w:tr>
      <w:tr w:rsidR="003526BC" w:rsidRPr="0074017C" w:rsidTr="003526BC">
        <w:tc>
          <w:tcPr>
            <w:tcW w:w="5868" w:type="dxa"/>
          </w:tcPr>
          <w:p w:rsidR="003526BC" w:rsidRPr="0074017C" w:rsidRDefault="003526BC" w:rsidP="00DC10CD">
            <w:pPr>
              <w:pStyle w:val="ListParagraph"/>
              <w:tabs>
                <w:tab w:val="left" w:pos="0"/>
              </w:tabs>
              <w:ind w:left="0"/>
              <w:jc w:val="both"/>
            </w:pPr>
            <w:r w:rsidRPr="0074017C">
              <w:t>Belgium</w:t>
            </w:r>
          </w:p>
        </w:tc>
        <w:tc>
          <w:tcPr>
            <w:tcW w:w="3708" w:type="dxa"/>
          </w:tcPr>
          <w:p w:rsidR="003526BC" w:rsidRPr="0074017C" w:rsidRDefault="00AB2ECE" w:rsidP="00DC10CD">
            <w:pPr>
              <w:pStyle w:val="ListParagraph"/>
              <w:tabs>
                <w:tab w:val="left" w:pos="0"/>
              </w:tabs>
              <w:ind w:left="0"/>
              <w:jc w:val="both"/>
            </w:pPr>
            <w:r w:rsidRPr="0074017C">
              <w:t>8,45% (2007)</w:t>
            </w:r>
          </w:p>
        </w:tc>
      </w:tr>
      <w:tr w:rsidR="003526BC" w:rsidRPr="0074017C" w:rsidTr="003526BC">
        <w:tc>
          <w:tcPr>
            <w:tcW w:w="5868" w:type="dxa"/>
          </w:tcPr>
          <w:p w:rsidR="003526BC" w:rsidRPr="0074017C" w:rsidRDefault="003526BC" w:rsidP="00DC10CD">
            <w:pPr>
              <w:pStyle w:val="ListParagraph"/>
              <w:tabs>
                <w:tab w:val="left" w:pos="0"/>
              </w:tabs>
              <w:ind w:left="0"/>
              <w:jc w:val="both"/>
            </w:pPr>
            <w:r w:rsidRPr="0074017C">
              <w:t>Bulgaria</w:t>
            </w:r>
          </w:p>
        </w:tc>
        <w:tc>
          <w:tcPr>
            <w:tcW w:w="3708" w:type="dxa"/>
          </w:tcPr>
          <w:p w:rsidR="003526BC" w:rsidRPr="0074017C" w:rsidRDefault="00AB2ECE" w:rsidP="00DC10CD">
            <w:pPr>
              <w:pStyle w:val="ListParagraph"/>
              <w:tabs>
                <w:tab w:val="left" w:pos="0"/>
              </w:tabs>
              <w:ind w:left="0"/>
              <w:jc w:val="both"/>
            </w:pPr>
            <w:r w:rsidRPr="0074017C">
              <w:t>7-10% (2009)</w:t>
            </w:r>
          </w:p>
        </w:tc>
      </w:tr>
      <w:tr w:rsidR="003526BC" w:rsidRPr="0074017C" w:rsidTr="003526BC">
        <w:tc>
          <w:tcPr>
            <w:tcW w:w="5868" w:type="dxa"/>
          </w:tcPr>
          <w:p w:rsidR="003526BC" w:rsidRPr="0074017C" w:rsidRDefault="00AB2ECE" w:rsidP="00DC10CD">
            <w:pPr>
              <w:pStyle w:val="ListParagraph"/>
              <w:tabs>
                <w:tab w:val="left" w:pos="0"/>
              </w:tabs>
              <w:ind w:left="0"/>
              <w:jc w:val="both"/>
            </w:pPr>
            <w:r w:rsidRPr="0074017C">
              <w:t>Czech Republic</w:t>
            </w:r>
          </w:p>
        </w:tc>
        <w:tc>
          <w:tcPr>
            <w:tcW w:w="3708" w:type="dxa"/>
          </w:tcPr>
          <w:p w:rsidR="003526BC" w:rsidRPr="0074017C" w:rsidRDefault="00AB2ECE" w:rsidP="00DC10CD">
            <w:pPr>
              <w:pStyle w:val="ListParagraph"/>
              <w:tabs>
                <w:tab w:val="left" w:pos="0"/>
              </w:tabs>
              <w:ind w:left="0"/>
              <w:jc w:val="both"/>
            </w:pPr>
            <w:r w:rsidRPr="0074017C">
              <w:t>4,3%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Denmark - unregulated</w:t>
            </w:r>
          </w:p>
        </w:tc>
        <w:tc>
          <w:tcPr>
            <w:tcW w:w="3708" w:type="dxa"/>
          </w:tcPr>
          <w:p w:rsidR="00AB2ECE" w:rsidRPr="0074017C" w:rsidRDefault="00AB2ECE" w:rsidP="00DC10CD">
            <w:pPr>
              <w:pStyle w:val="ListParagraph"/>
              <w:tabs>
                <w:tab w:val="left" w:pos="0"/>
              </w:tabs>
              <w:ind w:left="0"/>
              <w:jc w:val="both"/>
            </w:pPr>
            <w:r w:rsidRPr="0074017C">
              <w:t>6-7% (2009)</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Finland - unregulated</w:t>
            </w:r>
          </w:p>
        </w:tc>
        <w:tc>
          <w:tcPr>
            <w:tcW w:w="3708" w:type="dxa"/>
          </w:tcPr>
          <w:p w:rsidR="00AB2ECE" w:rsidRPr="0074017C" w:rsidRDefault="00AB2ECE" w:rsidP="00DC10CD">
            <w:pPr>
              <w:pStyle w:val="ListParagraph"/>
              <w:tabs>
                <w:tab w:val="left" w:pos="0"/>
              </w:tabs>
              <w:ind w:left="0"/>
              <w:jc w:val="both"/>
            </w:pPr>
            <w:r w:rsidRPr="0074017C">
              <w:t>3% (2008)</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France</w:t>
            </w:r>
          </w:p>
        </w:tc>
        <w:tc>
          <w:tcPr>
            <w:tcW w:w="3708" w:type="dxa"/>
          </w:tcPr>
          <w:p w:rsidR="00AB2ECE" w:rsidRPr="0074017C" w:rsidRDefault="00AB2ECE" w:rsidP="00DC10CD">
            <w:pPr>
              <w:pStyle w:val="ListParagraph"/>
              <w:tabs>
                <w:tab w:val="left" w:pos="0"/>
              </w:tabs>
              <w:ind w:left="0"/>
              <w:jc w:val="both"/>
            </w:pPr>
            <w:r w:rsidRPr="0074017C">
              <w:t>6,2%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Germany</w:t>
            </w:r>
          </w:p>
        </w:tc>
        <w:tc>
          <w:tcPr>
            <w:tcW w:w="3708" w:type="dxa"/>
          </w:tcPr>
          <w:p w:rsidR="00AB2ECE" w:rsidRPr="0074017C" w:rsidRDefault="00AB2ECE" w:rsidP="00DC10CD">
            <w:pPr>
              <w:pStyle w:val="ListParagraph"/>
              <w:tabs>
                <w:tab w:val="left" w:pos="0"/>
              </w:tabs>
              <w:ind w:left="0"/>
              <w:jc w:val="both"/>
            </w:pPr>
            <w:r w:rsidRPr="0074017C">
              <w:t>4-6,1%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Greece</w:t>
            </w:r>
          </w:p>
        </w:tc>
        <w:tc>
          <w:tcPr>
            <w:tcW w:w="3708" w:type="dxa"/>
          </w:tcPr>
          <w:p w:rsidR="00AB2ECE" w:rsidRPr="0074017C" w:rsidRDefault="00AB2ECE" w:rsidP="00DC10CD">
            <w:pPr>
              <w:pStyle w:val="ListParagraph"/>
              <w:tabs>
                <w:tab w:val="left" w:pos="0"/>
              </w:tabs>
              <w:ind w:left="0"/>
              <w:jc w:val="both"/>
            </w:pPr>
            <w:r w:rsidRPr="0074017C">
              <w:t>4%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Hungary</w:t>
            </w:r>
          </w:p>
        </w:tc>
        <w:tc>
          <w:tcPr>
            <w:tcW w:w="3708" w:type="dxa"/>
          </w:tcPr>
          <w:p w:rsidR="00AB2ECE" w:rsidRPr="0074017C" w:rsidRDefault="00AB2ECE" w:rsidP="00DC10CD">
            <w:pPr>
              <w:pStyle w:val="ListParagraph"/>
              <w:tabs>
                <w:tab w:val="left" w:pos="0"/>
              </w:tabs>
              <w:ind w:left="0"/>
              <w:jc w:val="both"/>
            </w:pPr>
            <w:r w:rsidRPr="0074017C">
              <w:t>6,04-6,36%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Italy</w:t>
            </w:r>
          </w:p>
        </w:tc>
        <w:tc>
          <w:tcPr>
            <w:tcW w:w="3708" w:type="dxa"/>
          </w:tcPr>
          <w:p w:rsidR="00AB2ECE" w:rsidRPr="0074017C" w:rsidRDefault="00AB2ECE" w:rsidP="00DC10CD">
            <w:pPr>
              <w:pStyle w:val="ListParagraph"/>
              <w:tabs>
                <w:tab w:val="left" w:pos="0"/>
              </w:tabs>
              <w:ind w:left="0"/>
              <w:jc w:val="both"/>
            </w:pPr>
            <w:r w:rsidRPr="0074017C">
              <w:t>3% (2010)</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Latvia</w:t>
            </w:r>
          </w:p>
        </w:tc>
        <w:tc>
          <w:tcPr>
            <w:tcW w:w="3708" w:type="dxa"/>
          </w:tcPr>
          <w:p w:rsidR="00AB2ECE" w:rsidRPr="0074017C" w:rsidRDefault="00AB2ECE" w:rsidP="00DC10CD">
            <w:pPr>
              <w:pStyle w:val="ListParagraph"/>
              <w:tabs>
                <w:tab w:val="left" w:pos="0"/>
              </w:tabs>
              <w:ind w:left="0"/>
              <w:jc w:val="both"/>
            </w:pPr>
            <w:r w:rsidRPr="0074017C">
              <w:t>3,34% (2008)</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Lithuania</w:t>
            </w:r>
          </w:p>
        </w:tc>
        <w:tc>
          <w:tcPr>
            <w:tcW w:w="3708" w:type="dxa"/>
          </w:tcPr>
          <w:p w:rsidR="00AB2ECE" w:rsidRPr="0074017C" w:rsidRDefault="00AB2ECE" w:rsidP="00DC10CD">
            <w:pPr>
              <w:pStyle w:val="ListParagraph"/>
              <w:tabs>
                <w:tab w:val="left" w:pos="0"/>
              </w:tabs>
              <w:ind w:left="0"/>
              <w:jc w:val="both"/>
            </w:pPr>
            <w:r w:rsidRPr="0074017C">
              <w:t>8-9% (2005)</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Malta</w:t>
            </w:r>
          </w:p>
        </w:tc>
        <w:tc>
          <w:tcPr>
            <w:tcW w:w="3708" w:type="dxa"/>
          </w:tcPr>
          <w:p w:rsidR="00AB2ECE" w:rsidRPr="0074017C" w:rsidRDefault="00AB2ECE" w:rsidP="00DC10CD">
            <w:pPr>
              <w:pStyle w:val="ListParagraph"/>
              <w:tabs>
                <w:tab w:val="left" w:pos="0"/>
              </w:tabs>
              <w:ind w:left="0"/>
              <w:jc w:val="both"/>
            </w:pPr>
            <w:r w:rsidRPr="0074017C">
              <w:t>15% (2009)</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Netherlands - unregulated</w:t>
            </w:r>
          </w:p>
        </w:tc>
        <w:tc>
          <w:tcPr>
            <w:tcW w:w="3708" w:type="dxa"/>
          </w:tcPr>
          <w:p w:rsidR="00AB2ECE" w:rsidRPr="0074017C" w:rsidRDefault="00AB2ECE" w:rsidP="00DC10CD">
            <w:pPr>
              <w:pStyle w:val="ListParagraph"/>
              <w:tabs>
                <w:tab w:val="left" w:pos="0"/>
              </w:tabs>
              <w:ind w:left="0"/>
              <w:jc w:val="both"/>
            </w:pPr>
            <w:r w:rsidRPr="0074017C">
              <w:t>13-24%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Poland</w:t>
            </w:r>
          </w:p>
        </w:tc>
        <w:tc>
          <w:tcPr>
            <w:tcW w:w="3708" w:type="dxa"/>
          </w:tcPr>
          <w:p w:rsidR="00AB2ECE" w:rsidRPr="0074017C" w:rsidRDefault="00AB2ECE" w:rsidP="00DC10CD">
            <w:pPr>
              <w:pStyle w:val="ListParagraph"/>
              <w:tabs>
                <w:tab w:val="left" w:pos="0"/>
              </w:tabs>
              <w:ind w:left="0"/>
              <w:jc w:val="both"/>
            </w:pPr>
            <w:r w:rsidRPr="0074017C">
              <w:t>9,78% (2007)</w:t>
            </w:r>
          </w:p>
        </w:tc>
      </w:tr>
      <w:tr w:rsidR="003526BC" w:rsidRPr="0074017C" w:rsidTr="003526BC">
        <w:tc>
          <w:tcPr>
            <w:tcW w:w="5868" w:type="dxa"/>
          </w:tcPr>
          <w:p w:rsidR="003526BC" w:rsidRPr="0074017C" w:rsidRDefault="00AB2ECE" w:rsidP="00DC10CD">
            <w:pPr>
              <w:pStyle w:val="ListParagraph"/>
              <w:tabs>
                <w:tab w:val="left" w:pos="0"/>
              </w:tabs>
              <w:ind w:left="0"/>
              <w:jc w:val="both"/>
            </w:pPr>
            <w:r w:rsidRPr="0074017C">
              <w:t>Portugal</w:t>
            </w:r>
          </w:p>
        </w:tc>
        <w:tc>
          <w:tcPr>
            <w:tcW w:w="3708" w:type="dxa"/>
          </w:tcPr>
          <w:p w:rsidR="003526BC" w:rsidRPr="0074017C" w:rsidRDefault="00AB2ECE" w:rsidP="00DC10CD">
            <w:pPr>
              <w:pStyle w:val="ListParagraph"/>
              <w:tabs>
                <w:tab w:val="left" w:pos="0"/>
              </w:tabs>
              <w:ind w:left="0"/>
              <w:jc w:val="both"/>
            </w:pPr>
            <w:r w:rsidRPr="0074017C">
              <w:t>6,87%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Romania</w:t>
            </w:r>
          </w:p>
        </w:tc>
        <w:tc>
          <w:tcPr>
            <w:tcW w:w="3708" w:type="dxa"/>
          </w:tcPr>
          <w:p w:rsidR="00AB2ECE" w:rsidRPr="0074017C" w:rsidRDefault="00AB2ECE" w:rsidP="00DC10CD">
            <w:pPr>
              <w:pStyle w:val="ListParagraph"/>
              <w:tabs>
                <w:tab w:val="left" w:pos="0"/>
              </w:tabs>
              <w:ind w:left="0"/>
              <w:jc w:val="both"/>
            </w:pPr>
            <w:r w:rsidRPr="0074017C">
              <w:t>10-14%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Slovenia</w:t>
            </w:r>
          </w:p>
        </w:tc>
        <w:tc>
          <w:tcPr>
            <w:tcW w:w="3708" w:type="dxa"/>
          </w:tcPr>
          <w:p w:rsidR="00AB2ECE" w:rsidRPr="0074017C" w:rsidRDefault="00AB2ECE" w:rsidP="00DC10CD">
            <w:pPr>
              <w:pStyle w:val="ListParagraph"/>
              <w:tabs>
                <w:tab w:val="left" w:pos="0"/>
              </w:tabs>
              <w:ind w:left="0"/>
              <w:jc w:val="both"/>
            </w:pPr>
            <w:r w:rsidRPr="0074017C">
              <w:t>8-9%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Spain</w:t>
            </w:r>
          </w:p>
        </w:tc>
        <w:tc>
          <w:tcPr>
            <w:tcW w:w="3708" w:type="dxa"/>
          </w:tcPr>
          <w:p w:rsidR="00AB2ECE" w:rsidRPr="0074017C" w:rsidRDefault="00AB2ECE" w:rsidP="00DC10CD">
            <w:pPr>
              <w:pStyle w:val="ListParagraph"/>
              <w:tabs>
                <w:tab w:val="left" w:pos="0"/>
              </w:tabs>
              <w:ind w:left="0"/>
              <w:jc w:val="both"/>
            </w:pPr>
            <w:r w:rsidRPr="0074017C">
              <w:t>3,5% (2007)</w:t>
            </w:r>
          </w:p>
        </w:tc>
      </w:tr>
      <w:tr w:rsidR="00AB2ECE" w:rsidRPr="0074017C" w:rsidTr="003526BC">
        <w:tc>
          <w:tcPr>
            <w:tcW w:w="5868" w:type="dxa"/>
          </w:tcPr>
          <w:p w:rsidR="00AB2ECE" w:rsidRPr="0074017C" w:rsidRDefault="00AB2ECE" w:rsidP="00DC10CD">
            <w:pPr>
              <w:pStyle w:val="ListParagraph"/>
              <w:tabs>
                <w:tab w:val="left" w:pos="0"/>
              </w:tabs>
              <w:ind w:left="0"/>
              <w:jc w:val="both"/>
            </w:pPr>
            <w:r w:rsidRPr="0074017C">
              <w:t>Sweden - unregulated</w:t>
            </w:r>
          </w:p>
        </w:tc>
        <w:tc>
          <w:tcPr>
            <w:tcW w:w="3708" w:type="dxa"/>
          </w:tcPr>
          <w:p w:rsidR="00AB2ECE" w:rsidRPr="0074017C" w:rsidRDefault="00AB2ECE" w:rsidP="00DC10CD">
            <w:pPr>
              <w:pStyle w:val="ListParagraph"/>
              <w:tabs>
                <w:tab w:val="left" w:pos="0"/>
              </w:tabs>
              <w:ind w:left="0"/>
              <w:jc w:val="both"/>
            </w:pPr>
            <w:r w:rsidRPr="0074017C">
              <w:t>2-3% (2009)</w:t>
            </w:r>
          </w:p>
        </w:tc>
      </w:tr>
    </w:tbl>
    <w:p w:rsidR="003526BC" w:rsidRPr="0074017C" w:rsidRDefault="003526BC" w:rsidP="00DC10CD">
      <w:pPr>
        <w:pStyle w:val="ListParagraph"/>
        <w:tabs>
          <w:tab w:val="left" w:pos="0"/>
        </w:tabs>
        <w:spacing w:after="0" w:line="240" w:lineRule="auto"/>
        <w:ind w:left="0"/>
        <w:jc w:val="both"/>
      </w:pPr>
    </w:p>
    <w:p w:rsidR="00AB2ECE" w:rsidRPr="0074017C" w:rsidRDefault="00AB2ECE" w:rsidP="00DC10CD">
      <w:pPr>
        <w:pStyle w:val="ListParagraph"/>
        <w:tabs>
          <w:tab w:val="left" w:pos="0"/>
        </w:tabs>
        <w:spacing w:after="0" w:line="240" w:lineRule="auto"/>
        <w:ind w:left="0"/>
        <w:jc w:val="both"/>
      </w:pPr>
    </w:p>
    <w:p w:rsidR="00EC48DD" w:rsidRPr="0074017C" w:rsidRDefault="00E62E87" w:rsidP="00DC10CD">
      <w:pPr>
        <w:pStyle w:val="ListParagraph"/>
        <w:tabs>
          <w:tab w:val="left" w:pos="0"/>
        </w:tabs>
        <w:spacing w:after="0" w:line="240" w:lineRule="auto"/>
        <w:ind w:left="0"/>
        <w:jc w:val="both"/>
      </w:pPr>
      <w:r w:rsidRPr="0074017C">
        <w:t>Retail markups</w:t>
      </w:r>
      <w:r w:rsidR="006C7865" w:rsidRPr="0074017C">
        <w:t>do not appear to</w:t>
      </w:r>
      <w:r w:rsidR="00200B71" w:rsidRPr="0074017C">
        <w:t xml:space="preserve"> be excessive compared to EU 27 and</w:t>
      </w:r>
      <w:r w:rsidR="006C7865" w:rsidRPr="0074017C">
        <w:t xml:space="preserve"> afair number of smaller pharmacies have historically been known to run into bad debt</w:t>
      </w:r>
      <w:r w:rsidR="006C7865" w:rsidRPr="0074017C">
        <w:rPr>
          <w:rStyle w:val="FootnoteReference"/>
        </w:rPr>
        <w:footnoteReference w:id="11"/>
      </w:r>
      <w:r w:rsidR="006C7865" w:rsidRPr="0074017C">
        <w:t xml:space="preserve">.  </w:t>
      </w:r>
    </w:p>
    <w:p w:rsidR="00EC48DD" w:rsidRPr="0074017C" w:rsidRDefault="00EC48DD" w:rsidP="00DC10CD">
      <w:pPr>
        <w:pStyle w:val="ListParagraph"/>
        <w:tabs>
          <w:tab w:val="left" w:pos="0"/>
        </w:tabs>
        <w:spacing w:after="0" w:line="240" w:lineRule="auto"/>
        <w:ind w:left="0"/>
        <w:jc w:val="both"/>
        <w:rPr>
          <w:b/>
        </w:rPr>
      </w:pPr>
    </w:p>
    <w:p w:rsidR="00D035BE" w:rsidRPr="0074017C" w:rsidRDefault="00D035BE" w:rsidP="00DC10CD">
      <w:pPr>
        <w:pStyle w:val="ListParagraph"/>
        <w:tabs>
          <w:tab w:val="left" w:pos="0"/>
        </w:tabs>
        <w:spacing w:after="0" w:line="240" w:lineRule="auto"/>
        <w:ind w:left="0"/>
        <w:jc w:val="both"/>
        <w:rPr>
          <w:rFonts w:eastAsia="Times New Roman" w:cs="Times New Roman"/>
          <w:color w:val="000000"/>
        </w:rPr>
      </w:pPr>
      <w:r w:rsidRPr="0074017C">
        <w:rPr>
          <w:rFonts w:eastAsia="Times New Roman" w:cs="Times New Roman"/>
          <w:color w:val="000000"/>
        </w:rPr>
        <w:t xml:space="preserve">The National Center for Drug Control (NCDC) is in charge of marketing authorization and control of </w:t>
      </w:r>
      <w:r w:rsidR="00752D34" w:rsidRPr="0074017C">
        <w:rPr>
          <w:rFonts w:eastAsia="Times New Roman" w:cs="Times New Roman"/>
          <w:color w:val="000000"/>
        </w:rPr>
        <w:t xml:space="preserve">quality of </w:t>
      </w:r>
      <w:r w:rsidRPr="0074017C">
        <w:rPr>
          <w:rFonts w:eastAsia="Times New Roman" w:cs="Times New Roman"/>
          <w:color w:val="000000"/>
        </w:rPr>
        <w:t xml:space="preserve">medicines. The Commission on pricing and reimbursement set up at the MOH decides which drugs to include in the reimbursement list. Expenditures on reimbursed drugs are sustained by the HIF. The </w:t>
      </w:r>
      <w:r w:rsidR="00CD63A0" w:rsidRPr="0074017C">
        <w:rPr>
          <w:rFonts w:eastAsia="Times New Roman" w:cs="Times New Roman"/>
          <w:color w:val="000000"/>
        </w:rPr>
        <w:t>MoH’s pharmaceutical department</w:t>
      </w:r>
      <w:r w:rsidRPr="0074017C">
        <w:rPr>
          <w:rFonts w:eastAsia="Times New Roman" w:cs="Times New Roman"/>
          <w:color w:val="000000"/>
        </w:rPr>
        <w:t xml:space="preserve"> is in charge of verifying prices </w:t>
      </w:r>
      <w:r w:rsidR="00CD63A0" w:rsidRPr="0074017C">
        <w:rPr>
          <w:rFonts w:eastAsia="Times New Roman" w:cs="Times New Roman"/>
          <w:color w:val="000000"/>
        </w:rPr>
        <w:t xml:space="preserve">declared </w:t>
      </w:r>
      <w:r w:rsidR="001C2714" w:rsidRPr="0074017C">
        <w:rPr>
          <w:rFonts w:eastAsia="Times New Roman" w:cs="Times New Roman"/>
          <w:color w:val="000000"/>
        </w:rPr>
        <w:t>by</w:t>
      </w:r>
      <w:r w:rsidRPr="0074017C">
        <w:rPr>
          <w:rFonts w:eastAsia="Times New Roman" w:cs="Times New Roman"/>
          <w:color w:val="000000"/>
        </w:rPr>
        <w:t xml:space="preserve"> companies</w:t>
      </w:r>
      <w:r w:rsidR="001C2714" w:rsidRPr="0074017C">
        <w:rPr>
          <w:rFonts w:eastAsia="Times New Roman" w:cs="Times New Roman"/>
          <w:color w:val="000000"/>
        </w:rPr>
        <w:t xml:space="preserve"> according to legislation</w:t>
      </w:r>
      <w:r w:rsidRPr="0074017C">
        <w:rPr>
          <w:rFonts w:eastAsia="Times New Roman" w:cs="Times New Roman"/>
          <w:color w:val="000000"/>
        </w:rPr>
        <w:t xml:space="preserve"> by comparing them to reference countries. The Minister of Health approves the final list</w:t>
      </w:r>
      <w:r w:rsidR="00845C4A" w:rsidRPr="0074017C">
        <w:rPr>
          <w:rFonts w:eastAsia="Times New Roman" w:cs="Times New Roman"/>
          <w:color w:val="000000"/>
        </w:rPr>
        <w:t xml:space="preserve"> of reimbursed medicines</w:t>
      </w:r>
      <w:r w:rsidRPr="0074017C">
        <w:rPr>
          <w:rFonts w:eastAsia="Times New Roman" w:cs="Times New Roman"/>
          <w:color w:val="000000"/>
        </w:rPr>
        <w:t>.</w:t>
      </w:r>
    </w:p>
    <w:p w:rsidR="00EC48DD" w:rsidRPr="0074017C" w:rsidRDefault="00EC48DD" w:rsidP="00DC10CD">
      <w:pPr>
        <w:pStyle w:val="ListParagraph"/>
        <w:tabs>
          <w:tab w:val="left" w:pos="0"/>
        </w:tabs>
        <w:spacing w:after="0" w:line="240" w:lineRule="auto"/>
        <w:ind w:left="0"/>
        <w:jc w:val="both"/>
        <w:rPr>
          <w:rFonts w:eastAsia="Times New Roman" w:cs="Times New Roman"/>
          <w:color w:val="000000"/>
        </w:rPr>
      </w:pPr>
    </w:p>
    <w:p w:rsidR="00441E02" w:rsidRPr="0074017C" w:rsidRDefault="00441E02" w:rsidP="00DC10CD">
      <w:pPr>
        <w:spacing w:after="0" w:line="240" w:lineRule="auto"/>
        <w:rPr>
          <w:b/>
        </w:rPr>
      </w:pPr>
    </w:p>
    <w:p w:rsidR="009221E0" w:rsidRPr="0074017C" w:rsidRDefault="009221E0" w:rsidP="00DC10CD">
      <w:pPr>
        <w:spacing w:after="0" w:line="240" w:lineRule="auto"/>
        <w:rPr>
          <w:b/>
        </w:rPr>
      </w:pPr>
    </w:p>
    <w:p w:rsidR="00E53E25" w:rsidRPr="0074017C" w:rsidRDefault="00E53E25" w:rsidP="00DC10CD">
      <w:pPr>
        <w:spacing w:after="0" w:line="240" w:lineRule="auto"/>
        <w:rPr>
          <w:rFonts w:asciiTheme="majorHAnsi" w:eastAsiaTheme="majorEastAsia" w:hAnsiTheme="majorHAnsi" w:cstheme="majorBidi"/>
          <w:b/>
          <w:bCs/>
          <w:color w:val="365F91" w:themeColor="accent1" w:themeShade="BF"/>
          <w:sz w:val="28"/>
          <w:szCs w:val="28"/>
        </w:rPr>
      </w:pPr>
      <w:r w:rsidRPr="0074017C">
        <w:br w:type="page"/>
      </w:r>
    </w:p>
    <w:p w:rsidR="009221E0" w:rsidRPr="0074017C" w:rsidRDefault="009221E0" w:rsidP="00DC10CD">
      <w:pPr>
        <w:pStyle w:val="Heading1"/>
        <w:spacing w:before="0" w:line="240" w:lineRule="auto"/>
      </w:pPr>
      <w:bookmarkStart w:id="5" w:name="_Toc391556303"/>
      <w:r w:rsidRPr="0074017C">
        <w:lastRenderedPageBreak/>
        <w:t xml:space="preserve">Pricing and </w:t>
      </w:r>
      <w:r w:rsidR="002B70F5" w:rsidRPr="0074017C">
        <w:t>Reimbursement</w:t>
      </w:r>
      <w:r w:rsidRPr="0074017C">
        <w:t xml:space="preserve"> of Medicines</w:t>
      </w:r>
      <w:bookmarkEnd w:id="5"/>
    </w:p>
    <w:p w:rsidR="009221E0" w:rsidRPr="0074017C" w:rsidRDefault="009221E0" w:rsidP="00DC10CD">
      <w:pPr>
        <w:spacing w:after="0" w:line="240" w:lineRule="auto"/>
      </w:pPr>
    </w:p>
    <w:p w:rsidR="00F22DA0" w:rsidRPr="0074017C" w:rsidRDefault="00F22DA0" w:rsidP="00DC10CD">
      <w:pPr>
        <w:spacing w:after="0" w:line="240" w:lineRule="auto"/>
      </w:pPr>
    </w:p>
    <w:p w:rsidR="00726884" w:rsidRPr="0074017C" w:rsidRDefault="001F33C6" w:rsidP="00DC10CD">
      <w:pPr>
        <w:pStyle w:val="Heading2"/>
        <w:spacing w:before="0" w:line="240" w:lineRule="auto"/>
      </w:pPr>
      <w:bookmarkStart w:id="6" w:name="_Toc391556304"/>
      <w:r w:rsidRPr="0074017C">
        <w:t>Pricing</w:t>
      </w:r>
      <w:bookmarkEnd w:id="6"/>
    </w:p>
    <w:p w:rsidR="001F33C6" w:rsidRPr="0074017C" w:rsidRDefault="001F33C6" w:rsidP="00DC10CD">
      <w:pPr>
        <w:spacing w:after="0" w:line="240" w:lineRule="auto"/>
      </w:pPr>
    </w:p>
    <w:p w:rsidR="008346CD" w:rsidRPr="0074017C" w:rsidRDefault="001F33C6" w:rsidP="00DC10CD">
      <w:pPr>
        <w:spacing w:after="0" w:line="240" w:lineRule="auto"/>
        <w:jc w:val="both"/>
      </w:pPr>
      <w:r w:rsidRPr="0074017C">
        <w:t>The MoH is in charge of calculating max</w:t>
      </w:r>
      <w:r w:rsidR="002B70F5" w:rsidRPr="0074017C">
        <w:t xml:space="preserve">imum prices for all </w:t>
      </w:r>
      <w:r w:rsidR="00C9064B" w:rsidRPr="0074017C">
        <w:t xml:space="preserve">prescription and expensive outpatient </w:t>
      </w:r>
      <w:r w:rsidR="002B70F5" w:rsidRPr="0074017C">
        <w:t xml:space="preserve">medicines, </w:t>
      </w:r>
      <w:r w:rsidRPr="0074017C">
        <w:t>both reimbursed and non reimbursed</w:t>
      </w:r>
      <w:r w:rsidR="00927D90" w:rsidRPr="0074017C">
        <w:t xml:space="preserve">(including OTC) </w:t>
      </w:r>
      <w:r w:rsidR="008346CD" w:rsidRPr="0074017C">
        <w:t>- totaling around 4000 active substances</w:t>
      </w:r>
      <w:r w:rsidRPr="0074017C">
        <w:t xml:space="preserve">. </w:t>
      </w:r>
      <w:r w:rsidR="002B70F5" w:rsidRPr="0074017C">
        <w:t>International p</w:t>
      </w:r>
      <w:r w:rsidRPr="0074017C">
        <w:t xml:space="preserve">rices comparisons are undertaken </w:t>
      </w:r>
      <w:r w:rsidR="002B70F5" w:rsidRPr="0074017C">
        <w:t>by brand</w:t>
      </w:r>
      <w:r w:rsidRPr="0074017C">
        <w:t xml:space="preserve"> names, not INN</w:t>
      </w:r>
      <w:r w:rsidR="002B70F5" w:rsidRPr="0074017C">
        <w:t>, even for generic medicines.</w:t>
      </w:r>
      <w:r w:rsidRPr="0074017C">
        <w:t xml:space="preserve"> Countries taken into consideration are FYR Macedonia, Greece and Italy</w:t>
      </w:r>
      <w:r w:rsidR="002B70F5" w:rsidRPr="0074017C">
        <w:t xml:space="preserve">, the lowest </w:t>
      </w:r>
      <w:r w:rsidR="00B42771" w:rsidRPr="0074017C">
        <w:t xml:space="preserve">published </w:t>
      </w:r>
      <w:r w:rsidR="002B70F5" w:rsidRPr="0074017C">
        <w:t>price being set as the Albanian price</w:t>
      </w:r>
      <w:r w:rsidRPr="0074017C">
        <w:t xml:space="preserve">. </w:t>
      </w:r>
      <w:r w:rsidR="002B70F5" w:rsidRPr="0074017C">
        <w:t>If the price of a particular drug is not available in any of the three</w:t>
      </w:r>
      <w:r w:rsidR="00B42771" w:rsidRPr="0074017C">
        <w:t xml:space="preserve"> countries</w:t>
      </w:r>
      <w:r w:rsidR="002B70F5" w:rsidRPr="0074017C">
        <w:t>, the price of the drug in another country geographically close to Albania</w:t>
      </w:r>
      <w:r w:rsidR="008346CD" w:rsidRPr="0074017C">
        <w:t xml:space="preserve"> is taken into consideration</w:t>
      </w:r>
      <w:r w:rsidR="002B70F5" w:rsidRPr="0074017C">
        <w:t xml:space="preserve">. </w:t>
      </w:r>
      <w:r w:rsidR="008346CD" w:rsidRPr="0074017C">
        <w:t>MoH</w:t>
      </w:r>
      <w:r w:rsidR="000260D3" w:rsidRPr="0074017C">
        <w:t>determines</w:t>
      </w:r>
      <w:r w:rsidR="008346CD" w:rsidRPr="0074017C">
        <w:t xml:space="preserve"> the </w:t>
      </w:r>
      <w:r w:rsidR="00852D75" w:rsidRPr="0074017C">
        <w:t>C</w:t>
      </w:r>
      <w:r w:rsidR="001814E6" w:rsidRPr="0074017C">
        <w:t xml:space="preserve">ost </w:t>
      </w:r>
      <w:r w:rsidR="00852D75" w:rsidRPr="0074017C">
        <w:t>I</w:t>
      </w:r>
      <w:r w:rsidR="001814E6" w:rsidRPr="0074017C">
        <w:t xml:space="preserve">nsurance and </w:t>
      </w:r>
      <w:r w:rsidR="00852D75" w:rsidRPr="0074017C">
        <w:t>F</w:t>
      </w:r>
      <w:r w:rsidR="001814E6" w:rsidRPr="0074017C">
        <w:t>reight (CIF)</w:t>
      </w:r>
      <w:r w:rsidR="00852D75" w:rsidRPr="0074017C">
        <w:t>price</w:t>
      </w:r>
      <w:r w:rsidRPr="0074017C">
        <w:t xml:space="preserve">which is then enlarged by wholesale and retail </w:t>
      </w:r>
      <w:r w:rsidR="008346CD" w:rsidRPr="0074017C">
        <w:t>markups</w:t>
      </w:r>
      <w:r w:rsidRPr="0074017C">
        <w:t xml:space="preserve"> to reach the final</w:t>
      </w:r>
      <w:r w:rsidR="002B70F5" w:rsidRPr="0074017C">
        <w:t>Albanian</w:t>
      </w:r>
      <w:r w:rsidR="008346CD" w:rsidRPr="0074017C">
        <w:t>retail</w:t>
      </w:r>
      <w:r w:rsidRPr="0074017C">
        <w:t xml:space="preserve">price. </w:t>
      </w:r>
      <w:r w:rsidR="00852D75" w:rsidRPr="0074017C">
        <w:t xml:space="preserve">MoH appears to be having issues in calculating CIF prices as back calculations from international retail and wholesale prices to CIF </w:t>
      </w:r>
      <w:r w:rsidR="00B42771" w:rsidRPr="0074017C">
        <w:t>are</w:t>
      </w:r>
      <w:r w:rsidR="00852D75" w:rsidRPr="0074017C">
        <w:t xml:space="preserve"> not necessarily </w:t>
      </w:r>
      <w:r w:rsidR="001814E6" w:rsidRPr="0074017C">
        <w:t>straightforward</w:t>
      </w:r>
      <w:r w:rsidR="00852D75" w:rsidRPr="0074017C">
        <w:t xml:space="preserve">. These issues are then </w:t>
      </w:r>
      <w:r w:rsidR="001814E6" w:rsidRPr="0074017C">
        <w:t>clarified and settled</w:t>
      </w:r>
      <w:r w:rsidR="00852D75" w:rsidRPr="0074017C">
        <w:t xml:space="preserve"> in negotiations.</w:t>
      </w:r>
      <w:r w:rsidR="000932B8" w:rsidRPr="0074017C">
        <w:t xml:space="preserve"> Prices of medicines produced in Albania are set through a negotiation procedure in which the ex-factory price is increased by 20%.</w:t>
      </w:r>
    </w:p>
    <w:p w:rsidR="000932B8" w:rsidRPr="0074017C" w:rsidRDefault="000932B8" w:rsidP="00DC10CD">
      <w:pPr>
        <w:spacing w:after="0" w:line="240" w:lineRule="auto"/>
        <w:jc w:val="both"/>
      </w:pPr>
    </w:p>
    <w:p w:rsidR="007212B5" w:rsidRPr="0074017C" w:rsidRDefault="002B70F5" w:rsidP="00DC10CD">
      <w:pPr>
        <w:spacing w:after="0" w:line="240" w:lineRule="auto"/>
        <w:jc w:val="both"/>
      </w:pPr>
      <w:r w:rsidRPr="0074017C">
        <w:t xml:space="preserve">Companies </w:t>
      </w:r>
      <w:r w:rsidR="008346CD" w:rsidRPr="0074017C">
        <w:t>are obliged to</w:t>
      </w:r>
      <w:r w:rsidRPr="0074017C">
        <w:t xml:space="preserve"> submit their </w:t>
      </w:r>
      <w:r w:rsidR="008346CD" w:rsidRPr="0074017C">
        <w:t xml:space="preserve">price </w:t>
      </w:r>
      <w:r w:rsidRPr="0074017C">
        <w:t xml:space="preserve">dossiers </w:t>
      </w:r>
      <w:r w:rsidR="00DA7328" w:rsidRPr="0074017C">
        <w:t xml:space="preserve">(detailing international prices) </w:t>
      </w:r>
      <w:r w:rsidRPr="0074017C">
        <w:t xml:space="preserve">to the </w:t>
      </w:r>
      <w:r w:rsidR="008346CD" w:rsidRPr="0074017C">
        <w:t>MoH’s</w:t>
      </w:r>
      <w:r w:rsidRPr="0074017C">
        <w:t>Pharmaceutical Department from September 1</w:t>
      </w:r>
      <w:r w:rsidRPr="0074017C">
        <w:rPr>
          <w:vertAlign w:val="superscript"/>
        </w:rPr>
        <w:t>st</w:t>
      </w:r>
      <w:r w:rsidRPr="0074017C">
        <w:t xml:space="preserve"> until October 30</w:t>
      </w:r>
      <w:r w:rsidRPr="0074017C">
        <w:rPr>
          <w:vertAlign w:val="superscript"/>
        </w:rPr>
        <w:t>th</w:t>
      </w:r>
      <w:r w:rsidRPr="0074017C">
        <w:t xml:space="preserve">. </w:t>
      </w:r>
      <w:r w:rsidR="008346CD" w:rsidRPr="0074017C">
        <w:t xml:space="preserve">The MoH pharmaceutical department in charge employs 6 staff who check the submitted dossiers.  </w:t>
      </w:r>
      <w:r w:rsidRPr="0074017C">
        <w:t>On December the 15</w:t>
      </w:r>
      <w:r w:rsidRPr="0074017C">
        <w:rPr>
          <w:vertAlign w:val="superscript"/>
        </w:rPr>
        <w:t>th</w:t>
      </w:r>
      <w:r w:rsidRPr="0074017C">
        <w:t xml:space="preserve"> the MoH’s</w:t>
      </w:r>
      <w:r w:rsidR="00852D75" w:rsidRPr="0074017C">
        <w:t>C</w:t>
      </w:r>
      <w:r w:rsidRPr="0074017C">
        <w:t>ommission</w:t>
      </w:r>
      <w:r w:rsidR="008346CD" w:rsidRPr="0074017C">
        <w:t xml:space="preserve">on </w:t>
      </w:r>
      <w:r w:rsidR="00852D75" w:rsidRPr="0074017C">
        <w:t xml:space="preserve">Pricing and Reimbursement </w:t>
      </w:r>
      <w:r w:rsidRPr="0074017C">
        <w:t xml:space="preserve">issues its </w:t>
      </w:r>
      <w:r w:rsidR="008346CD" w:rsidRPr="0074017C">
        <w:t xml:space="preserve">price </w:t>
      </w:r>
      <w:r w:rsidRPr="0074017C">
        <w:t>decision</w:t>
      </w:r>
      <w:r w:rsidR="008346CD" w:rsidRPr="0074017C">
        <w:t>s</w:t>
      </w:r>
      <w:r w:rsidRPr="0074017C">
        <w:t xml:space="preserve"> based on the </w:t>
      </w:r>
      <w:r w:rsidR="00B42771" w:rsidRPr="0074017C">
        <w:t>work</w:t>
      </w:r>
      <w:r w:rsidR="008346CD" w:rsidRPr="0074017C">
        <w:t xml:space="preserve"> of the department</w:t>
      </w:r>
      <w:r w:rsidRPr="0074017C">
        <w:t xml:space="preserve">. </w:t>
      </w:r>
    </w:p>
    <w:p w:rsidR="007212B5" w:rsidRPr="0074017C" w:rsidRDefault="007212B5" w:rsidP="00DC10CD">
      <w:pPr>
        <w:spacing w:after="0" w:line="240" w:lineRule="auto"/>
        <w:jc w:val="right"/>
      </w:pPr>
    </w:p>
    <w:p w:rsidR="001F33C6" w:rsidRPr="0074017C" w:rsidRDefault="001F33C6" w:rsidP="00DC10CD">
      <w:pPr>
        <w:spacing w:after="0" w:line="240" w:lineRule="auto"/>
        <w:jc w:val="both"/>
      </w:pPr>
      <w:r w:rsidRPr="0074017C">
        <w:t xml:space="preserve">Companies can declare lower prices than calculated, but rarely do so. Last year </w:t>
      </w:r>
      <w:r w:rsidR="008346CD" w:rsidRPr="0074017C">
        <w:t>MoH d</w:t>
      </w:r>
      <w:r w:rsidRPr="0074017C">
        <w:t xml:space="preserve">id not take into account </w:t>
      </w:r>
      <w:r w:rsidR="00852D75" w:rsidRPr="0074017C">
        <w:t xml:space="preserve">low </w:t>
      </w:r>
      <w:r w:rsidRPr="0074017C">
        <w:t>FYR Macedonia</w:t>
      </w:r>
      <w:r w:rsidR="008346CD" w:rsidRPr="0074017C">
        <w:t>n</w:t>
      </w:r>
      <w:r w:rsidRPr="0074017C">
        <w:t xml:space="preserve"> prices as </w:t>
      </w:r>
      <w:r w:rsidR="008346CD" w:rsidRPr="0074017C">
        <w:t xml:space="preserve">the Macedonian </w:t>
      </w:r>
      <w:r w:rsidRPr="0074017C">
        <w:t xml:space="preserve">website </w:t>
      </w:r>
      <w:r w:rsidR="008346CD" w:rsidRPr="0074017C">
        <w:t xml:space="preserve">cited </w:t>
      </w:r>
      <w:r w:rsidR="00852D75" w:rsidRPr="0074017C">
        <w:t xml:space="preserve">as the source </w:t>
      </w:r>
      <w:r w:rsidR="008346CD" w:rsidRPr="0074017C">
        <w:t xml:space="preserve">in the relevant bylaw </w:t>
      </w:r>
      <w:r w:rsidRPr="0074017C">
        <w:t xml:space="preserve">changed. </w:t>
      </w:r>
      <w:r w:rsidR="00B42771" w:rsidRPr="0074017C">
        <w:t>No dedicated software is used</w:t>
      </w:r>
      <w:r w:rsidR="006F538C" w:rsidRPr="0074017C">
        <w:t xml:space="preserve"> for price comparisons</w:t>
      </w:r>
      <w:r w:rsidR="00B42771" w:rsidRPr="0074017C">
        <w:t>.</w:t>
      </w:r>
    </w:p>
    <w:p w:rsidR="001F33C6" w:rsidRPr="0074017C" w:rsidRDefault="001F33C6" w:rsidP="00DC10CD">
      <w:pPr>
        <w:spacing w:after="0" w:line="240" w:lineRule="auto"/>
      </w:pPr>
    </w:p>
    <w:p w:rsidR="001F33C6" w:rsidRPr="0074017C" w:rsidRDefault="00C9064B" w:rsidP="006F538C">
      <w:pPr>
        <w:spacing w:after="0" w:line="240" w:lineRule="auto"/>
        <w:jc w:val="both"/>
      </w:pPr>
      <w:r w:rsidRPr="0074017C">
        <w:t>Medicines used in hospitals (inpatient) are procured by public tendering</w:t>
      </w:r>
      <w:r w:rsidR="009E7A72" w:rsidRPr="0074017C">
        <w:t>, however maximum prices are also determined by international price comparisons – following the same rules as for prescription medicines</w:t>
      </w:r>
      <w:r w:rsidRPr="0074017C">
        <w:t xml:space="preserve">.  </w:t>
      </w:r>
    </w:p>
    <w:p w:rsidR="00726884" w:rsidRPr="0074017C" w:rsidRDefault="00726884" w:rsidP="00DC10CD">
      <w:pPr>
        <w:spacing w:after="0" w:line="240" w:lineRule="auto"/>
      </w:pPr>
    </w:p>
    <w:p w:rsidR="006F538C" w:rsidRPr="0074017C" w:rsidRDefault="006F538C" w:rsidP="00DC10CD">
      <w:pPr>
        <w:spacing w:after="0" w:line="240" w:lineRule="auto"/>
      </w:pPr>
    </w:p>
    <w:p w:rsidR="00726884" w:rsidRPr="0074017C" w:rsidRDefault="001F33C6" w:rsidP="00DC10CD">
      <w:pPr>
        <w:pStyle w:val="Heading2"/>
        <w:spacing w:before="0" w:line="240" w:lineRule="auto"/>
      </w:pPr>
      <w:bookmarkStart w:id="7" w:name="_Toc391556305"/>
      <w:r w:rsidRPr="0074017C">
        <w:t>Reimbursement</w:t>
      </w:r>
      <w:bookmarkEnd w:id="7"/>
    </w:p>
    <w:p w:rsidR="00F22DA0" w:rsidRPr="0074017C" w:rsidRDefault="00F22DA0" w:rsidP="00DC10CD">
      <w:pPr>
        <w:spacing w:after="0" w:line="240" w:lineRule="auto"/>
      </w:pPr>
    </w:p>
    <w:p w:rsidR="009E7A72" w:rsidRPr="0074017C" w:rsidRDefault="00043196" w:rsidP="00DC10CD">
      <w:pPr>
        <w:spacing w:after="0" w:line="240" w:lineRule="auto"/>
        <w:jc w:val="both"/>
      </w:pPr>
      <w:r w:rsidRPr="0074017C">
        <w:t xml:space="preserve">Albania has two </w:t>
      </w:r>
      <w:r w:rsidR="00B41ABB" w:rsidRPr="0074017C">
        <w:t>lists of reimbursed medicines: t</w:t>
      </w:r>
      <w:r w:rsidRPr="0074017C">
        <w:t>he prescription drug list thatincludes</w:t>
      </w:r>
      <w:r w:rsidR="00244F70" w:rsidRPr="0074017C">
        <w:t xml:space="preserve">expensive </w:t>
      </w:r>
      <w:r w:rsidRPr="0074017C">
        <w:t xml:space="preserve">outpatient medicines and the hospital drug list. </w:t>
      </w:r>
      <w:r w:rsidR="009A2E8D" w:rsidRPr="0074017C">
        <w:t xml:space="preserve">The </w:t>
      </w:r>
      <w:r w:rsidR="00852D75" w:rsidRPr="0074017C">
        <w:t>HIF</w:t>
      </w:r>
      <w:r w:rsidR="009A2E8D" w:rsidRPr="0074017C">
        <w:t xml:space="preserve"> reimburses </w:t>
      </w:r>
      <w:r w:rsidR="009E7A72" w:rsidRPr="0074017C">
        <w:t>the list of prescription and expensive outpatient medicines</w:t>
      </w:r>
      <w:r w:rsidR="009A2E8D" w:rsidRPr="0074017C">
        <w:t xml:space="preserve">. </w:t>
      </w:r>
    </w:p>
    <w:p w:rsidR="009E7A72" w:rsidRPr="0074017C" w:rsidRDefault="009E7A72" w:rsidP="00DC10CD">
      <w:pPr>
        <w:spacing w:after="0" w:line="240" w:lineRule="auto"/>
        <w:jc w:val="both"/>
      </w:pPr>
    </w:p>
    <w:p w:rsidR="00C712D6" w:rsidRPr="0074017C" w:rsidRDefault="009A2E8D" w:rsidP="00DC10CD">
      <w:pPr>
        <w:spacing w:after="0" w:line="240" w:lineRule="auto"/>
        <w:jc w:val="both"/>
      </w:pPr>
      <w:r w:rsidRPr="0074017C">
        <w:t>The list</w:t>
      </w:r>
      <w:r w:rsidR="00852D75" w:rsidRPr="0074017C">
        <w:t xml:space="preserve"> of reimbursed </w:t>
      </w:r>
      <w:r w:rsidR="00B42771" w:rsidRPr="0074017C">
        <w:t xml:space="preserve">prescription </w:t>
      </w:r>
      <w:r w:rsidR="00852D75" w:rsidRPr="0074017C">
        <w:t>medicines</w:t>
      </w:r>
      <w:r w:rsidRPr="0074017C">
        <w:t xml:space="preserve"> is determined by the </w:t>
      </w:r>
      <w:r w:rsidR="00852D75" w:rsidRPr="0074017C">
        <w:t>MoH’s</w:t>
      </w:r>
      <w:r w:rsidRPr="0074017C">
        <w:t>Commission</w:t>
      </w:r>
      <w:r w:rsidR="00852D75" w:rsidRPr="0074017C">
        <w:t>on</w:t>
      </w:r>
      <w:r w:rsidRPr="0074017C">
        <w:t xml:space="preserve"> Pricing and Reimbursement.The commission is composed of representatives from the MOH, HIF, Ministry of Finance,</w:t>
      </w:r>
      <w:r w:rsidR="000C1BF8" w:rsidRPr="0074017C">
        <w:t xml:space="preserve"> NCDC</w:t>
      </w:r>
      <w:r w:rsidRPr="0074017C">
        <w:t>, Faculty of Medicine and other external experts such as heads of hospital services.</w:t>
      </w:r>
      <w:r w:rsidR="00852D75" w:rsidRPr="0074017C">
        <w:t>The l</w:t>
      </w:r>
      <w:r w:rsidR="001F33C6" w:rsidRPr="0074017C">
        <w:t>ist is updated once annually (last update in April 2014).</w:t>
      </w:r>
      <w:r w:rsidR="00C712D6" w:rsidRPr="0074017C">
        <w:t xml:space="preserve">No clear methodology or due process </w:t>
      </w:r>
      <w:r w:rsidR="00852D75" w:rsidRPr="0074017C">
        <w:t>were</w:t>
      </w:r>
      <w:r w:rsidR="000C1BF8" w:rsidRPr="0074017C">
        <w:t>provided</w:t>
      </w:r>
      <w:r w:rsidR="00852D75" w:rsidRPr="0074017C">
        <w:t xml:space="preserve"> for the decision making process regarding reimbursement of new molecules</w:t>
      </w:r>
      <w:r w:rsidR="00C712D6" w:rsidRPr="0074017C">
        <w:t xml:space="preserve">. </w:t>
      </w:r>
    </w:p>
    <w:p w:rsidR="001F33C6" w:rsidRPr="0074017C" w:rsidRDefault="001F33C6" w:rsidP="00DC10CD">
      <w:pPr>
        <w:spacing w:after="0" w:line="240" w:lineRule="auto"/>
      </w:pPr>
    </w:p>
    <w:p w:rsidR="009A2E8D" w:rsidRPr="00EC6E97" w:rsidRDefault="00E2631B" w:rsidP="00DC10CD">
      <w:pPr>
        <w:spacing w:after="0" w:line="240" w:lineRule="auto"/>
        <w:jc w:val="both"/>
        <w:rPr>
          <w:b/>
        </w:rPr>
      </w:pPr>
      <w:r w:rsidRPr="00EC6E97">
        <w:rPr>
          <w:b/>
        </w:rPr>
        <w:t>During annual price recalculations</w:t>
      </w:r>
      <w:r w:rsidR="00043196" w:rsidRPr="00EC6E97">
        <w:rPr>
          <w:b/>
        </w:rPr>
        <w:t xml:space="preserve"> that take part before the updating of the list</w:t>
      </w:r>
      <w:r w:rsidRPr="00EC6E97">
        <w:rPr>
          <w:b/>
        </w:rPr>
        <w:t xml:space="preserve">, the HIF does not </w:t>
      </w:r>
      <w:r w:rsidR="00043196" w:rsidRPr="00EC6E97">
        <w:rPr>
          <w:b/>
        </w:rPr>
        <w:t>engage in</w:t>
      </w:r>
      <w:r w:rsidRPr="00EC6E97">
        <w:rPr>
          <w:b/>
        </w:rPr>
        <w:t xml:space="preserve"> internal reference pricing</w:t>
      </w:r>
      <w:r w:rsidR="00B41ABB" w:rsidRPr="00EC6E97">
        <w:rPr>
          <w:b/>
        </w:rPr>
        <w:t xml:space="preserve">(therapeutic value) </w:t>
      </w:r>
      <w:r w:rsidR="00043196" w:rsidRPr="00EC6E97">
        <w:rPr>
          <w:b/>
        </w:rPr>
        <w:t xml:space="preserve">of any sort – even for different strengths of the </w:t>
      </w:r>
      <w:r w:rsidR="00043196" w:rsidRPr="00EC6E97">
        <w:rPr>
          <w:b/>
        </w:rPr>
        <w:lastRenderedPageBreak/>
        <w:t>same INN</w:t>
      </w:r>
      <w:r w:rsidRPr="00EC6E97">
        <w:rPr>
          <w:b/>
        </w:rPr>
        <w:t xml:space="preserve">. </w:t>
      </w:r>
      <w:r w:rsidR="00FD1524" w:rsidRPr="00EC6E97">
        <w:rPr>
          <w:b/>
        </w:rPr>
        <w:t xml:space="preserve">Only the first generic </w:t>
      </w:r>
      <w:r w:rsidR="009A2E8D" w:rsidRPr="00EC6E97">
        <w:rPr>
          <w:b/>
        </w:rPr>
        <w:t>that seek</w:t>
      </w:r>
      <w:r w:rsidR="00FD1524" w:rsidRPr="00EC6E97">
        <w:rPr>
          <w:b/>
        </w:rPr>
        <w:t>s</w:t>
      </w:r>
      <w:r w:rsidR="009A2E8D" w:rsidRPr="00EC6E97">
        <w:rPr>
          <w:b/>
        </w:rPr>
        <w:t xml:space="preserve"> reimburs</w:t>
      </w:r>
      <w:r w:rsidR="00FD1524" w:rsidRPr="00EC6E97">
        <w:rPr>
          <w:b/>
        </w:rPr>
        <w:t xml:space="preserve">ementis required to reduce the reimbursed price by 20%.  </w:t>
      </w:r>
      <w:r w:rsidR="009A2E8D" w:rsidRPr="00EC6E97">
        <w:rPr>
          <w:b/>
        </w:rPr>
        <w:t xml:space="preserve">No mandatory price reduction rules </w:t>
      </w:r>
      <w:r w:rsidR="00B42771" w:rsidRPr="00EC6E97">
        <w:rPr>
          <w:b/>
        </w:rPr>
        <w:t xml:space="preserve">exist </w:t>
      </w:r>
      <w:r w:rsidR="009A2E8D" w:rsidRPr="00EC6E97">
        <w:rPr>
          <w:b/>
        </w:rPr>
        <w:t xml:space="preserve">for </w:t>
      </w:r>
      <w:r w:rsidR="005C539B" w:rsidRPr="00EC6E97">
        <w:rPr>
          <w:b/>
        </w:rPr>
        <w:t xml:space="preserve">therapeutically similar </w:t>
      </w:r>
      <w:r w:rsidR="009A2E8D" w:rsidRPr="00EC6E97">
        <w:rPr>
          <w:b/>
        </w:rPr>
        <w:t>me-too medicines</w:t>
      </w:r>
      <w:r w:rsidR="00043196" w:rsidRPr="00EC6E97">
        <w:rPr>
          <w:b/>
        </w:rPr>
        <w:t xml:space="preserve"> either. </w:t>
      </w:r>
      <w:r w:rsidR="00A7350E" w:rsidRPr="00EC6E97">
        <w:rPr>
          <w:b/>
        </w:rPr>
        <w:t>This creates little incentive for companies to offer reduced reimbursed prices as medicines with higher copayments are commonly prescribed and dispensed.</w:t>
      </w:r>
      <w:r w:rsidR="00043196" w:rsidRPr="00EC6E97">
        <w:rPr>
          <w:b/>
        </w:rPr>
        <w:t>Mana</w:t>
      </w:r>
      <w:r w:rsidR="009A2E8D" w:rsidRPr="00EC6E97">
        <w:rPr>
          <w:b/>
        </w:rPr>
        <w:t>ged entry agreements</w:t>
      </w:r>
      <w:r w:rsidR="00043196" w:rsidRPr="00EC6E97">
        <w:rPr>
          <w:b/>
        </w:rPr>
        <w:t xml:space="preserve"> are not used to limit expenditure on</w:t>
      </w:r>
      <w:r w:rsidR="009A2E8D" w:rsidRPr="00EC6E97">
        <w:rPr>
          <w:b/>
        </w:rPr>
        <w:t xml:space="preserve"> expensive medicines. </w:t>
      </w:r>
      <w:r w:rsidR="00B42771" w:rsidRPr="00EC6E97">
        <w:rPr>
          <w:b/>
        </w:rPr>
        <w:t>Tendering is not used for prescription drugs</w:t>
      </w:r>
      <w:r w:rsidR="009A2E8D" w:rsidRPr="00EC6E97">
        <w:rPr>
          <w:b/>
        </w:rPr>
        <w:t xml:space="preserve">. </w:t>
      </w:r>
    </w:p>
    <w:p w:rsidR="00B42771" w:rsidRPr="0074017C" w:rsidRDefault="00B42771" w:rsidP="00DC10CD">
      <w:pPr>
        <w:spacing w:after="0" w:line="240" w:lineRule="auto"/>
      </w:pPr>
    </w:p>
    <w:p w:rsidR="00C9064B" w:rsidRPr="0074017C" w:rsidRDefault="00C9064B" w:rsidP="00DC10CD">
      <w:pPr>
        <w:spacing w:after="0" w:line="240" w:lineRule="auto"/>
        <w:jc w:val="both"/>
      </w:pPr>
      <w:r w:rsidRPr="0074017C">
        <w:t xml:space="preserve">The hospital list of medicines is determined annually by a commission set up at the department for hospital planning at the MOH. </w:t>
      </w:r>
    </w:p>
    <w:p w:rsidR="00C9064B" w:rsidRPr="0074017C" w:rsidRDefault="00C9064B" w:rsidP="00DC10CD">
      <w:pPr>
        <w:spacing w:after="0" w:line="240" w:lineRule="auto"/>
        <w:jc w:val="both"/>
      </w:pPr>
    </w:p>
    <w:p w:rsidR="00043196" w:rsidRPr="00EC6E97" w:rsidRDefault="00043196" w:rsidP="00DC10CD">
      <w:pPr>
        <w:spacing w:after="0" w:line="240" w:lineRule="auto"/>
        <w:jc w:val="both"/>
        <w:rPr>
          <w:b/>
        </w:rPr>
      </w:pPr>
      <w:r w:rsidRPr="00EC6E97">
        <w:rPr>
          <w:b/>
        </w:rPr>
        <w:t>Previously, Albania used to have 2 hospital lists of medicines – one for the clinical hospital centre</w:t>
      </w:r>
      <w:r w:rsidR="002562E3" w:rsidRPr="00EC6E97">
        <w:rPr>
          <w:b/>
        </w:rPr>
        <w:t>Mother</w:t>
      </w:r>
      <w:r w:rsidRPr="00EC6E97">
        <w:rPr>
          <w:b/>
        </w:rPr>
        <w:t xml:space="preserve"> Teresa, and the other for all other hospitals. As of </w:t>
      </w:r>
      <w:r w:rsidR="005C539B" w:rsidRPr="00EC6E97">
        <w:rPr>
          <w:b/>
        </w:rPr>
        <w:t>2014</w:t>
      </w:r>
      <w:r w:rsidRPr="00EC6E97">
        <w:rPr>
          <w:b/>
        </w:rPr>
        <w:t xml:space="preserve">, there is only one list. Until </w:t>
      </w:r>
      <w:r w:rsidR="008F19C3" w:rsidRPr="00EC6E97">
        <w:rPr>
          <w:b/>
        </w:rPr>
        <w:t>2012</w:t>
      </w:r>
      <w:r w:rsidRPr="00EC6E97">
        <w:rPr>
          <w:b/>
        </w:rPr>
        <w:t xml:space="preserve">  procurement of medicines was </w:t>
      </w:r>
      <w:r w:rsidR="00B00B2D" w:rsidRPr="00EC6E97">
        <w:rPr>
          <w:b/>
        </w:rPr>
        <w:t>decentralized</w:t>
      </w:r>
      <w:r w:rsidRPr="00EC6E97">
        <w:rPr>
          <w:b/>
        </w:rPr>
        <w:t xml:space="preserve"> to individual hospitals, however for the last 2 years the MoH has been running </w:t>
      </w:r>
      <w:r w:rsidR="00B00B2D" w:rsidRPr="00EC6E97">
        <w:rPr>
          <w:b/>
        </w:rPr>
        <w:t>centralized</w:t>
      </w:r>
      <w:r w:rsidRPr="00EC6E97">
        <w:rPr>
          <w:b/>
        </w:rPr>
        <w:t xml:space="preserve"> tenders. Hospitals submit </w:t>
      </w:r>
      <w:r w:rsidR="00766160" w:rsidRPr="00EC6E97">
        <w:rPr>
          <w:b/>
        </w:rPr>
        <w:t xml:space="preserve">desired products and </w:t>
      </w:r>
      <w:r w:rsidR="005C539B" w:rsidRPr="00EC6E97">
        <w:rPr>
          <w:b/>
        </w:rPr>
        <w:t xml:space="preserve">needed quantities </w:t>
      </w:r>
      <w:r w:rsidRPr="00EC6E97">
        <w:rPr>
          <w:b/>
        </w:rPr>
        <w:t xml:space="preserve">to the MoH. All drugs are tendered – patented and generic. According to the MoH, centralizing the tendering procedure did produce some savings, but more detailed analyses have not been undertaken. If more medicines are needed than tendered, hospitals can </w:t>
      </w:r>
      <w:r w:rsidR="00B41ABB" w:rsidRPr="00EC6E97">
        <w:rPr>
          <w:b/>
        </w:rPr>
        <w:t xml:space="preserve">later on </w:t>
      </w:r>
      <w:r w:rsidRPr="00EC6E97">
        <w:rPr>
          <w:b/>
        </w:rPr>
        <w:t xml:space="preserve">procure </w:t>
      </w:r>
      <w:r w:rsidR="00B00B2D" w:rsidRPr="00EC6E97">
        <w:rPr>
          <w:b/>
        </w:rPr>
        <w:t>them individually</w:t>
      </w:r>
      <w:r w:rsidRPr="00EC6E97">
        <w:rPr>
          <w:b/>
        </w:rPr>
        <w:t xml:space="preserve">, but should not pay more than the tendered price. While legally only Albanian wholesalers should be allowed to participate in tendering, </w:t>
      </w:r>
      <w:r w:rsidR="00B00B2D" w:rsidRPr="00EC6E97">
        <w:rPr>
          <w:b/>
        </w:rPr>
        <w:t xml:space="preserve">in </w:t>
      </w:r>
      <w:r w:rsidRPr="00EC6E97">
        <w:rPr>
          <w:b/>
        </w:rPr>
        <w:t xml:space="preserve">the last hospital tender published by the MOH “parallel trade” from Turkey </w:t>
      </w:r>
      <w:r w:rsidR="00B41ABB" w:rsidRPr="00EC6E97">
        <w:rPr>
          <w:b/>
        </w:rPr>
        <w:t xml:space="preserve">and Greece </w:t>
      </w:r>
      <w:r w:rsidRPr="00EC6E97">
        <w:rPr>
          <w:b/>
        </w:rPr>
        <w:t>was allowed in order to reduce prices</w:t>
      </w:r>
      <w:r w:rsidR="00B00B2D" w:rsidRPr="00EC6E97">
        <w:rPr>
          <w:b/>
        </w:rPr>
        <w:t xml:space="preserve">. The effect of this measure remains to be </w:t>
      </w:r>
      <w:r w:rsidR="00086FD9" w:rsidRPr="00EC6E97">
        <w:rPr>
          <w:b/>
        </w:rPr>
        <w:t>evaluated</w:t>
      </w:r>
      <w:r w:rsidR="00B00B2D" w:rsidRPr="00EC6E97">
        <w:rPr>
          <w:b/>
        </w:rPr>
        <w:t xml:space="preserve"> as the tender is still not finalized. </w:t>
      </w:r>
    </w:p>
    <w:p w:rsidR="009A2E8D" w:rsidRPr="0074017C" w:rsidRDefault="005E127A" w:rsidP="00DC10CD">
      <w:pPr>
        <w:tabs>
          <w:tab w:val="left" w:pos="7608"/>
        </w:tabs>
        <w:spacing w:after="0" w:line="240" w:lineRule="auto"/>
        <w:jc w:val="both"/>
      </w:pPr>
      <w:r w:rsidRPr="0074017C">
        <w:tab/>
      </w:r>
    </w:p>
    <w:p w:rsidR="007212B5" w:rsidRPr="0074017C" w:rsidRDefault="00043196" w:rsidP="00DC10CD">
      <w:pPr>
        <w:spacing w:after="0" w:line="240" w:lineRule="auto"/>
        <w:jc w:val="both"/>
      </w:pPr>
      <w:r w:rsidRPr="0074017C">
        <w:t>The process of introducing new medicines to the hospital inpatient list is not well defined. Heads of departments</w:t>
      </w:r>
      <w:r w:rsidR="001F33C6" w:rsidRPr="0074017C">
        <w:t xml:space="preserve">/hospital directors suggest which medicines should be included. Involvement of </w:t>
      </w:r>
      <w:r w:rsidRPr="0074017C">
        <w:t>marketing authorization holders</w:t>
      </w:r>
      <w:r w:rsidR="001F33C6" w:rsidRPr="0074017C">
        <w:t xml:space="preserve"> is not </w:t>
      </w:r>
      <w:r w:rsidRPr="0074017C">
        <w:t>evident</w:t>
      </w:r>
      <w:r w:rsidR="001F33C6" w:rsidRPr="0074017C">
        <w:t xml:space="preserve">, neither is the methodology in which decisions on reimbursement are taken. </w:t>
      </w:r>
      <w:r w:rsidR="00B00B2D" w:rsidRPr="0074017C">
        <w:t xml:space="preserve">TheMoH’s Commission </w:t>
      </w:r>
      <w:r w:rsidR="007212B5" w:rsidRPr="0074017C">
        <w:t>then reviews these propositions, using no structured methodology. They appear to be mostly accepted. This is explained under the argument that the financial burden of introducing new medicines is borne by the hospitals themselves. No economic evalu</w:t>
      </w:r>
      <w:r w:rsidRPr="0074017C">
        <w:t xml:space="preserve">ation is undertaken by the MoH. </w:t>
      </w:r>
      <w:r w:rsidR="007212B5" w:rsidRPr="0074017C">
        <w:t xml:space="preserve">The Hospital Directorate </w:t>
      </w:r>
      <w:r w:rsidR="00B00B2D" w:rsidRPr="0074017C">
        <w:t>also participates in the process</w:t>
      </w:r>
      <w:r w:rsidR="005C539B" w:rsidRPr="0074017C">
        <w:t xml:space="preserve">, </w:t>
      </w:r>
      <w:r w:rsidR="00B00B2D" w:rsidRPr="0074017C">
        <w:t>primarily from the perspective of availability of budgeted funds</w:t>
      </w:r>
      <w:r w:rsidR="00B41ABB" w:rsidRPr="0074017C">
        <w:t>, but again without documented due process</w:t>
      </w:r>
      <w:r w:rsidR="00B00B2D" w:rsidRPr="0074017C">
        <w:t xml:space="preserve">. </w:t>
      </w:r>
    </w:p>
    <w:p w:rsidR="00C9064B" w:rsidRPr="0074017C" w:rsidRDefault="00C9064B" w:rsidP="00DC10CD">
      <w:pPr>
        <w:spacing w:after="0" w:line="240" w:lineRule="auto"/>
        <w:jc w:val="both"/>
      </w:pPr>
    </w:p>
    <w:p w:rsidR="00C9064B" w:rsidRPr="0074017C" w:rsidRDefault="00C9064B" w:rsidP="00DC10CD">
      <w:pPr>
        <w:spacing w:after="0" w:line="240" w:lineRule="auto"/>
        <w:jc w:val="both"/>
      </w:pPr>
      <w:r w:rsidRPr="0074017C">
        <w:t xml:space="preserve">One managed entry agreement appears to be in operation between Genzyme and Mother Teresa Clinical Hospital centre for Gaucher’s disease. Cerezyme is paid for 6 patients, while the company donates the drug for an additional 10. The HIF has so far not entered into any managed entry agreements for prescription nor expensive outpatient medicines.  </w:t>
      </w:r>
    </w:p>
    <w:p w:rsidR="00E53E25" w:rsidRPr="0074017C" w:rsidRDefault="00E53E25" w:rsidP="00DC10CD">
      <w:pPr>
        <w:spacing w:after="0" w:line="240" w:lineRule="auto"/>
        <w:jc w:val="both"/>
      </w:pPr>
    </w:p>
    <w:p w:rsidR="00C9064B" w:rsidRPr="0074017C" w:rsidRDefault="00C9064B" w:rsidP="00DC10CD">
      <w:pPr>
        <w:spacing w:after="0" w:line="240" w:lineRule="auto"/>
        <w:jc w:val="both"/>
      </w:pPr>
    </w:p>
    <w:p w:rsidR="0069100B" w:rsidRPr="0074017C" w:rsidRDefault="0069100B">
      <w:pPr>
        <w:rPr>
          <w:rFonts w:asciiTheme="majorHAnsi" w:eastAsiaTheme="majorEastAsia" w:hAnsiTheme="majorHAnsi" w:cstheme="majorBidi"/>
          <w:b/>
          <w:bCs/>
          <w:color w:val="365F91" w:themeColor="accent1" w:themeShade="BF"/>
          <w:sz w:val="28"/>
          <w:szCs w:val="28"/>
        </w:rPr>
      </w:pPr>
      <w:r w:rsidRPr="0074017C">
        <w:br w:type="page"/>
      </w:r>
    </w:p>
    <w:p w:rsidR="00F22DA0" w:rsidRPr="0074017C" w:rsidRDefault="00F22DA0" w:rsidP="00DC10CD">
      <w:pPr>
        <w:pStyle w:val="Heading1"/>
        <w:spacing w:before="0" w:line="240" w:lineRule="auto"/>
      </w:pPr>
      <w:bookmarkStart w:id="8" w:name="_Toc391556306"/>
      <w:r w:rsidRPr="0074017C">
        <w:lastRenderedPageBreak/>
        <w:t>Prescribing and dispensing</w:t>
      </w:r>
      <w:bookmarkEnd w:id="8"/>
    </w:p>
    <w:p w:rsidR="00F22DA0" w:rsidRPr="0074017C" w:rsidRDefault="00F22DA0" w:rsidP="00DC10CD">
      <w:pPr>
        <w:spacing w:after="0" w:line="240" w:lineRule="auto"/>
      </w:pPr>
    </w:p>
    <w:p w:rsidR="00C62E0D" w:rsidRPr="0074017C" w:rsidRDefault="00C62E0D" w:rsidP="00DC10CD">
      <w:pPr>
        <w:spacing w:after="0" w:line="240" w:lineRule="auto"/>
        <w:jc w:val="both"/>
      </w:pPr>
      <w:r w:rsidRPr="0074017C">
        <w:t>INN prescribing is implemented and controlled by the HIF for reimbursed medicines</w:t>
      </w:r>
      <w:r w:rsidR="001A5DF7" w:rsidRPr="0074017C">
        <w:t xml:space="preserve"> only</w:t>
      </w:r>
      <w:r w:rsidRPr="0074017C">
        <w:t xml:space="preserve">. </w:t>
      </w:r>
      <w:r w:rsidR="00CE0191" w:rsidRPr="0074017C">
        <w:t>Incompliant</w:t>
      </w:r>
      <w:r w:rsidRPr="0074017C">
        <w:t xml:space="preserve"> GPs can be financially punished, but </w:t>
      </w:r>
      <w:r w:rsidR="00CE0191" w:rsidRPr="0074017C">
        <w:t>it is not clear how fully is this regulation implemented</w:t>
      </w:r>
      <w:r w:rsidRPr="0074017C">
        <w:t xml:space="preserve">. Non reimbursed medicines can be prescribed by branded name.  GPs do not attend peer groups, undergo visitations or engage in consultations with clinical pharmacologists regarding rational prescribing. </w:t>
      </w:r>
      <w:r w:rsidR="00666ADC" w:rsidRPr="0074017C">
        <w:t>According to the HIF</w:t>
      </w:r>
      <w:r w:rsidR="00CE0191" w:rsidRPr="0074017C">
        <w:t xml:space="preserve">, </w:t>
      </w:r>
      <w:r w:rsidRPr="0074017C">
        <w:t xml:space="preserve">GPs are however </w:t>
      </w:r>
      <w:r w:rsidR="00CE0191" w:rsidRPr="0074017C">
        <w:t>controlled and</w:t>
      </w:r>
      <w:r w:rsidRPr="0074017C">
        <w:t xml:space="preserve"> benchmarked according to </w:t>
      </w:r>
      <w:r w:rsidR="001A5DF7" w:rsidRPr="0074017C">
        <w:t>expenditure</w:t>
      </w:r>
      <w:r w:rsidR="00CE0191" w:rsidRPr="0074017C">
        <w:t xml:space="preserve"> on medicines based on the </w:t>
      </w:r>
      <w:r w:rsidRPr="0074017C">
        <w:t xml:space="preserve">number of patients in care and </w:t>
      </w:r>
      <w:r w:rsidR="00CE0191" w:rsidRPr="0074017C">
        <w:t xml:space="preserve">their </w:t>
      </w:r>
      <w:r w:rsidRPr="0074017C">
        <w:t xml:space="preserve">age structure. </w:t>
      </w:r>
      <w:r w:rsidR="00CE0191" w:rsidRPr="0074017C">
        <w:t>Good</w:t>
      </w:r>
      <w:r w:rsidRPr="0074017C">
        <w:t xml:space="preserve"> prescribers</w:t>
      </w:r>
      <w:r w:rsidR="00CE0191" w:rsidRPr="0074017C">
        <w:t xml:space="preserve"> receive bonuses</w:t>
      </w:r>
      <w:r w:rsidRPr="0074017C">
        <w:t xml:space="preserve"> (1 extra salary every 6</w:t>
      </w:r>
      <w:r w:rsidR="001A5DF7" w:rsidRPr="0074017C">
        <w:t xml:space="preserve"> months – this however depends on their performance on </w:t>
      </w:r>
      <w:r w:rsidRPr="0074017C">
        <w:t>other performance indicators</w:t>
      </w:r>
      <w:r w:rsidR="00666ADC" w:rsidRPr="0074017C">
        <w:t xml:space="preserve">not related to prescribing </w:t>
      </w:r>
      <w:r w:rsidR="001A5DF7" w:rsidRPr="0074017C">
        <w:t>too</w:t>
      </w:r>
      <w:r w:rsidRPr="0074017C">
        <w:t>).</w:t>
      </w:r>
    </w:p>
    <w:p w:rsidR="00C62E0D" w:rsidRPr="0074017C" w:rsidRDefault="00C62E0D" w:rsidP="00DC10CD">
      <w:pPr>
        <w:spacing w:after="0" w:line="240" w:lineRule="auto"/>
        <w:jc w:val="both"/>
      </w:pPr>
    </w:p>
    <w:p w:rsidR="000C1BF8" w:rsidRPr="0074017C" w:rsidRDefault="004A01E4" w:rsidP="00DC10CD">
      <w:pPr>
        <w:spacing w:after="0" w:line="240" w:lineRule="auto"/>
        <w:jc w:val="both"/>
      </w:pPr>
      <w:r w:rsidRPr="0074017C">
        <w:t>The HIF issues i</w:t>
      </w:r>
      <w:r w:rsidR="00CE0191" w:rsidRPr="0074017C">
        <w:t xml:space="preserve">ndications/protocols for </w:t>
      </w:r>
      <w:r w:rsidR="00C62E0D" w:rsidRPr="0074017C">
        <w:t xml:space="preserve">conditions that have to be met in order for GPs to prescribe </w:t>
      </w:r>
      <w:r w:rsidR="00CE0191" w:rsidRPr="0074017C">
        <w:t>medicines</w:t>
      </w:r>
      <w:r w:rsidR="00C62E0D" w:rsidRPr="0074017C">
        <w:t xml:space="preserve"> to individual patients. </w:t>
      </w:r>
      <w:r w:rsidR="001A5DF7" w:rsidRPr="0074017C">
        <w:t>These are</w:t>
      </w:r>
      <w:r w:rsidR="000C1BF8" w:rsidRPr="0074017C">
        <w:t xml:space="preserve"> not listed in the for</w:t>
      </w:r>
      <w:r w:rsidR="001A5DF7" w:rsidRPr="0074017C">
        <w:t>mulary, but in a s</w:t>
      </w:r>
      <w:r w:rsidR="00C62E0D" w:rsidRPr="0074017C">
        <w:t>eparate publication</w:t>
      </w:r>
      <w:r w:rsidR="001A5DF7" w:rsidRPr="0074017C">
        <w:t>. The extent to which this is actually controlled</w:t>
      </w:r>
      <w:r w:rsidR="00C62E0D" w:rsidRPr="0074017C">
        <w:t xml:space="preserve"> remains unclear.</w:t>
      </w:r>
    </w:p>
    <w:p w:rsidR="00881388" w:rsidRPr="0074017C" w:rsidRDefault="00881388" w:rsidP="00DC10CD">
      <w:pPr>
        <w:spacing w:after="0" w:line="240" w:lineRule="auto"/>
        <w:jc w:val="both"/>
      </w:pPr>
    </w:p>
    <w:p w:rsidR="00881388" w:rsidRPr="0074017C" w:rsidRDefault="00875271" w:rsidP="00DC10CD">
      <w:pPr>
        <w:spacing w:after="0" w:line="240" w:lineRule="auto"/>
        <w:jc w:val="both"/>
        <w:rPr>
          <w:color w:val="FF0000"/>
        </w:rPr>
      </w:pPr>
      <w:r w:rsidRPr="0074017C">
        <w:t>Table 6</w:t>
      </w:r>
      <w:r w:rsidR="00881388" w:rsidRPr="0074017C">
        <w:t xml:space="preserve"> provides a comparison of Albanian prescribing indications vs Croatian indications (for prescription medicines) and vs NICE/SMC guidelines for hospital </w:t>
      </w:r>
      <w:r w:rsidR="00E86EF7" w:rsidRPr="0074017C">
        <w:t xml:space="preserve">(inpatient and outpatient) </w:t>
      </w:r>
      <w:r w:rsidR="00881388" w:rsidRPr="0074017C">
        <w:t>medicines.</w:t>
      </w:r>
    </w:p>
    <w:p w:rsidR="00F554D6" w:rsidRPr="0074017C" w:rsidRDefault="00F554D6" w:rsidP="00F554D6">
      <w:pPr>
        <w:spacing w:after="0" w:line="240" w:lineRule="auto"/>
        <w:jc w:val="both"/>
        <w:rPr>
          <w:color w:val="FF0000"/>
        </w:rPr>
      </w:pPr>
    </w:p>
    <w:p w:rsidR="00F554D6" w:rsidRPr="0074017C" w:rsidRDefault="00875271" w:rsidP="00F554D6">
      <w:pPr>
        <w:spacing w:after="0" w:line="240" w:lineRule="auto"/>
        <w:jc w:val="both"/>
      </w:pPr>
      <w:r w:rsidRPr="0074017C">
        <w:t>Table 6</w:t>
      </w:r>
      <w:r w:rsidR="00F554D6" w:rsidRPr="0074017C">
        <w:t xml:space="preserve"> – indications for prescribing selected products, comparisons between Albania and Croatia or NICE (UK National Institute of Clinical Excellence)/SMC (Scottish Medicines Consortium) guidelines</w:t>
      </w:r>
    </w:p>
    <w:tbl>
      <w:tblPr>
        <w:tblStyle w:val="TableGrid"/>
        <w:tblW w:w="5000" w:type="pct"/>
        <w:tblLook w:val="04A0"/>
      </w:tblPr>
      <w:tblGrid>
        <w:gridCol w:w="3192"/>
        <w:gridCol w:w="3193"/>
        <w:gridCol w:w="3191"/>
      </w:tblGrid>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tabs>
                <w:tab w:val="center" w:pos="1488"/>
                <w:tab w:val="left" w:pos="1909"/>
              </w:tabs>
              <w:jc w:val="both"/>
              <w:rPr>
                <w:b/>
              </w:rPr>
            </w:pPr>
            <w:r w:rsidRPr="0074017C">
              <w:rPr>
                <w:b/>
              </w:rPr>
              <w:t>Medicine</w:t>
            </w:r>
            <w:r w:rsidRPr="0074017C">
              <w:rPr>
                <w:b/>
              </w:rPr>
              <w:tab/>
            </w:r>
            <w:r w:rsidRPr="0074017C">
              <w:rPr>
                <w:b/>
              </w:rPr>
              <w:tab/>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Albania</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Croatia</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Klopidogrel</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After coronary bypass or stent, up to 12 months</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After coronary bypass or stent, up to 12 months</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Insulin glargin and detemir</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Only if other insulins proved unsuccessful in achieving normal glycamia</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Only if other insulins proved unsuccessful in achieving normal glycamia</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Sartans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Only for patients intolerant to ACE inhibitors after 2 months of therapy</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Only for patients intolerant to ACE inhibitors after at least 4 months of therapy</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Statins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r w:rsidRPr="0074017C">
              <w:t>It is recommended for primary prevention:  dyslipidemia, hypercholesterolemia, type IIa ore mix type IIb. It is recommended to treat ischemia heart disease, diabetes ect.</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Primary prevention after 3 months of diet if cholesterol is &gt;7mmol/L and if patient is under 70 years of age</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Mircera</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For dialysis patients suffering from anemia with hemoglobin &lt;90g/L. Also for patients who are not under dialysis treatment but with renal insufficiency &lt;90g/L</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For dialysis patients suffering from anemia with hemoglobin &lt;90g/L</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tabs>
                <w:tab w:val="center" w:pos="1488"/>
                <w:tab w:val="left" w:pos="1909"/>
              </w:tabs>
              <w:jc w:val="both"/>
              <w:rPr>
                <w:b/>
              </w:rPr>
            </w:pPr>
            <w:r w:rsidRPr="0074017C">
              <w:rPr>
                <w:b/>
              </w:rPr>
              <w:t>Medicine</w:t>
            </w:r>
            <w:r w:rsidRPr="0074017C">
              <w:rPr>
                <w:b/>
              </w:rPr>
              <w:tab/>
            </w:r>
            <w:r w:rsidRPr="0074017C">
              <w:rPr>
                <w:b/>
              </w:rPr>
              <w:tab/>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color w:val="FF0000"/>
              </w:rPr>
            </w:pPr>
            <w:r w:rsidRPr="0074017C">
              <w:rPr>
                <w:b/>
              </w:rPr>
              <w:t>Albania</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NICE/ SMC</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Xolair (omalizumab) for treatment of severe persistent confirmed allergic asthma</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rPr>
                <w:i/>
              </w:rPr>
            </w:pPr>
            <w:r w:rsidRPr="0074017C">
              <w:rPr>
                <w:i/>
              </w:rPr>
              <w:t>Adults and children older than 12 years old with severe persistent allergic asthma:</w:t>
            </w:r>
          </w:p>
          <w:p w:rsidR="00F554D6" w:rsidRPr="0074017C" w:rsidRDefault="00F554D6" w:rsidP="003B17DE">
            <w:pPr>
              <w:jc w:val="both"/>
            </w:pPr>
            <w:r w:rsidRPr="0074017C">
              <w:t xml:space="preserve">Positive in allergic tests of skin or </w:t>
            </w:r>
            <w:r w:rsidRPr="0074017C">
              <w:lastRenderedPageBreak/>
              <w:t xml:space="preserve">in vitro reactivity against an aeroallergen </w:t>
            </w:r>
          </w:p>
          <w:p w:rsidR="00F554D6" w:rsidRPr="0074017C" w:rsidRDefault="00F554D6" w:rsidP="003B17DE">
            <w:pPr>
              <w:jc w:val="both"/>
            </w:pPr>
            <w:r w:rsidRPr="0074017C">
              <w:t>Decline of pulmonary function (FEVI &lt;80%)</w:t>
            </w:r>
          </w:p>
          <w:p w:rsidR="00F554D6" w:rsidRPr="0074017C" w:rsidRDefault="00F554D6" w:rsidP="003B17DE">
            <w:pPr>
              <w:jc w:val="both"/>
            </w:pPr>
            <w:r w:rsidRPr="0074017C">
              <w:t xml:space="preserve">Frequent symptoms of severe Asthma despite high dosage daily treatment </w:t>
            </w:r>
          </w:p>
          <w:p w:rsidR="00F554D6" w:rsidRPr="0074017C" w:rsidRDefault="00F554D6" w:rsidP="003B17DE">
            <w:pPr>
              <w:jc w:val="both"/>
            </w:pPr>
            <w:r w:rsidRPr="0074017C">
              <w:t xml:space="preserve">Frequent exacerbation of severe asthma despite high dosage daily treatment of inhaled corticosteroids, plus of a </w:t>
            </w:r>
            <w:r w:rsidRPr="0074017C">
              <w:rPr>
                <w:bCs/>
              </w:rPr>
              <w:t>β2-agonist with a prolonged action.</w:t>
            </w:r>
          </w:p>
          <w:p w:rsidR="00F554D6" w:rsidRPr="0074017C" w:rsidRDefault="00F554D6" w:rsidP="003B17DE">
            <w:pPr>
              <w:jc w:val="both"/>
            </w:pPr>
          </w:p>
          <w:p w:rsidR="00F554D6" w:rsidRPr="0074017C" w:rsidRDefault="00F554D6" w:rsidP="003B17DE">
            <w:pPr>
              <w:jc w:val="both"/>
              <w:rPr>
                <w:i/>
              </w:rPr>
            </w:pPr>
            <w:r w:rsidRPr="0074017C">
              <w:rPr>
                <w:i/>
              </w:rPr>
              <w:t>Children between 6 and 12 years old with severe persistent allergic asthma and:</w:t>
            </w:r>
          </w:p>
          <w:p w:rsidR="00F554D6" w:rsidRPr="0074017C" w:rsidRDefault="00F554D6" w:rsidP="003B17DE">
            <w:pPr>
              <w:jc w:val="both"/>
            </w:pPr>
            <w:r w:rsidRPr="0074017C">
              <w:t xml:space="preserve">Positive in allergic tests of skin or in vitro reactivity against an aeroallergen </w:t>
            </w:r>
          </w:p>
          <w:p w:rsidR="00F554D6" w:rsidRPr="0074017C" w:rsidRDefault="00F554D6" w:rsidP="003B17DE">
            <w:pPr>
              <w:jc w:val="both"/>
            </w:pPr>
            <w:r w:rsidRPr="0074017C">
              <w:t>Decline of pulmonary function (FEVI &lt;80%)</w:t>
            </w:r>
          </w:p>
          <w:p w:rsidR="00F554D6" w:rsidRPr="0074017C" w:rsidRDefault="00F554D6" w:rsidP="003B17DE">
            <w:pPr>
              <w:jc w:val="both"/>
            </w:pPr>
            <w:r w:rsidRPr="0074017C">
              <w:t xml:space="preserve">Frequent symptoms of severe Asthma despite high dosage daily treatment </w:t>
            </w:r>
          </w:p>
          <w:p w:rsidR="00F554D6" w:rsidRPr="0074017C" w:rsidRDefault="00F554D6" w:rsidP="003B17DE">
            <w:pPr>
              <w:jc w:val="both"/>
            </w:pPr>
            <w:r w:rsidRPr="0074017C">
              <w:t xml:space="preserve">Frequent exacerbation of severe asthma despite high dosage daily treatment of inhaled corticosteroids, plus of a </w:t>
            </w:r>
            <w:r w:rsidRPr="0074017C">
              <w:rPr>
                <w:bCs/>
              </w:rPr>
              <w:t>β2-agonist with a prolonged action.</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lastRenderedPageBreak/>
              <w:t>Omalizumab</w:t>
            </w:r>
            <w:r w:rsidRPr="0074017C">
              <w:rPr>
                <w:rStyle w:val="FootnoteReference"/>
              </w:rPr>
              <w:footnoteReference w:id="12"/>
            </w:r>
            <w:r w:rsidRPr="0074017C">
              <w:t xml:space="preserve"> is recommended as an option for treating severe persistent confirmed allergic IgE</w:t>
            </w:r>
            <w:r w:rsidRPr="0074017C">
              <w:noBreakHyphen/>
              <w:t xml:space="preserve">mediated asthma as an </w:t>
            </w:r>
            <w:r w:rsidRPr="0074017C">
              <w:lastRenderedPageBreak/>
              <w:t>add</w:t>
            </w:r>
            <w:r w:rsidRPr="0074017C">
              <w:noBreakHyphen/>
              <w:t xml:space="preserve">on to optimised standard therapy in people aged 6 years and older: </w:t>
            </w:r>
          </w:p>
          <w:p w:rsidR="00F554D6" w:rsidRPr="0074017C" w:rsidRDefault="00F554D6" w:rsidP="003B17DE">
            <w:pPr>
              <w:jc w:val="both"/>
            </w:pPr>
            <w:r w:rsidRPr="0074017C">
              <w:t xml:space="preserve">- who need continuous or frequent treatment with oral corticosteroids (defined as 4 or more courses in the previous year), </w:t>
            </w:r>
            <w:r w:rsidRPr="0074017C">
              <w:rPr>
                <w:bCs/>
              </w:rPr>
              <w:t>and</w:t>
            </w:r>
          </w:p>
          <w:p w:rsidR="00F554D6" w:rsidRPr="0074017C" w:rsidRDefault="00F554D6" w:rsidP="003B17DE">
            <w:pPr>
              <w:jc w:val="both"/>
            </w:pPr>
            <w:r w:rsidRPr="0074017C">
              <w:t>- only if the manufacturer makes omalizumab available with the discount agreed in the patient access scheme.</w:t>
            </w:r>
          </w:p>
          <w:p w:rsidR="00F554D6" w:rsidRPr="0074017C" w:rsidRDefault="00F554D6" w:rsidP="003B17DE">
            <w:pPr>
              <w:jc w:val="center"/>
            </w:pPr>
          </w:p>
          <w:p w:rsidR="00F554D6" w:rsidRPr="0074017C" w:rsidRDefault="00F554D6" w:rsidP="003B17DE">
            <w:pPr>
              <w:jc w:val="both"/>
            </w:pPr>
            <w:r w:rsidRPr="0074017C">
              <w:t>Optimised standard therapy is defined as a full trial of and, if tolerated, documented compliance with inhaled high</w:t>
            </w:r>
            <w:r w:rsidRPr="0074017C">
              <w:noBreakHyphen/>
              <w:t>dose corticosteroids, long</w:t>
            </w:r>
            <w:r w:rsidRPr="0074017C">
              <w:noBreakHyphen/>
              <w:t>acting beta</w:t>
            </w:r>
            <w:r w:rsidRPr="0074017C">
              <w:rPr>
                <w:vertAlign w:val="subscript"/>
              </w:rPr>
              <w:t>2</w:t>
            </w:r>
            <w:r w:rsidRPr="0074017C">
              <w:t xml:space="preserve"> agonists, leukotriene receptor antagonists, theophyllines, oral corticosteroids, and smoking cessation if clinically appropriate.</w:t>
            </w:r>
          </w:p>
          <w:p w:rsidR="00F554D6" w:rsidRPr="0074017C" w:rsidRDefault="00F554D6" w:rsidP="003B17DE">
            <w:pPr>
              <w:jc w:val="both"/>
            </w:pP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lastRenderedPageBreak/>
              <w:t>Glivec (imatinib) &amp;Tasigna (nilotinib) for the first-line treatment of adults with chronic phase Philadelphia-chromosome-positive chronic myeloid leukaemia (CML</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Tasigna will be used only in adult patients who have been diagnosed with for the first time at the University Hospital Center “Mother Teresa” with chronic myeloid leukemia (positive chromosome Philadelphia bcr-abl positive) mainly at the chronic stage and also at an advanced stage. Tasigna will be used to treat adults diagnosed with chronic myeloid leukemia (positive chromosome Philadelphia bcr-abl positive) mainly at a chronic stage and also at an advanced stage when other treatments have failed.</w:t>
            </w:r>
          </w:p>
          <w:p w:rsidR="00F554D6" w:rsidRPr="0074017C" w:rsidRDefault="00F554D6" w:rsidP="003B17DE">
            <w:pPr>
              <w:jc w:val="both"/>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554D6" w:rsidRPr="0074017C" w:rsidRDefault="00F554D6" w:rsidP="003B17DE">
            <w:pPr>
              <w:jc w:val="both"/>
            </w:pPr>
            <w:r w:rsidRPr="0074017C">
              <w:lastRenderedPageBreak/>
              <w:t>Standard-dose imatinib</w:t>
            </w:r>
            <w:r w:rsidRPr="0074017C">
              <w:rPr>
                <w:rStyle w:val="FootnoteReference"/>
              </w:rPr>
              <w:footnoteReference w:id="13"/>
            </w:r>
            <w:r w:rsidRPr="0074017C">
              <w:t xml:space="preserve"> (400 mg per day for patients in chronic phase) is recommended as an option for the first-line treatment of adults with chronic phase Philadelphia-chromosome-positive chronic myeloid leukaemia (CML).</w:t>
            </w:r>
          </w:p>
          <w:p w:rsidR="00F554D6" w:rsidRPr="0074017C" w:rsidRDefault="00F554D6" w:rsidP="003B17DE">
            <w:pPr>
              <w:jc w:val="both"/>
            </w:pPr>
            <w:r w:rsidRPr="0074017C">
              <w:t>Nilotinib is recommended as an option for the first-line treatment of adults with chronic phase Philadelphia-chromosome-positive CML if the manufacturer makes nilotinib available with the discount agreed as part of the patient access scheme (PAS).</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lastRenderedPageBreak/>
              <w:t>Gilenya (fingolimod) for the treatment of multiple sclerosis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Patients with multiple sclerosis (relapsing – remitting multiple sclerosis RRMS)</w:t>
            </w:r>
          </w:p>
          <w:p w:rsidR="00F554D6" w:rsidRPr="0074017C" w:rsidRDefault="00F554D6" w:rsidP="003B17DE">
            <w:pPr>
              <w:jc w:val="both"/>
            </w:pPr>
            <w:r w:rsidRPr="0074017C">
              <w:t>Treatment should start within the first five years of the disease.</w:t>
            </w:r>
          </w:p>
          <w:p w:rsidR="00F554D6" w:rsidRPr="0074017C" w:rsidRDefault="00F554D6" w:rsidP="003B17DE">
            <w:pPr>
              <w:jc w:val="both"/>
            </w:pPr>
            <w:r w:rsidRPr="0074017C">
              <w:t xml:space="preserve">The drug is recommended when there is no positive effect of treatment with interferon beta which has been utilized for at leas one year. </w:t>
            </w:r>
          </w:p>
          <w:p w:rsidR="00F554D6" w:rsidRPr="0074017C" w:rsidRDefault="00F554D6" w:rsidP="003B17DE">
            <w:pPr>
              <w:jc w:val="both"/>
            </w:pPr>
            <w:r w:rsidRPr="0074017C">
              <w:t>Patients with MS that have at least one clinical relapse during treatment with interferon.</w:t>
            </w:r>
          </w:p>
          <w:p w:rsidR="00F554D6" w:rsidRPr="0074017C" w:rsidRDefault="00F554D6" w:rsidP="003B17DE">
            <w:pPr>
              <w:jc w:val="both"/>
            </w:pPr>
            <w:r w:rsidRPr="0074017C">
              <w:t xml:space="preserve">Patients with no cardiac diseases, with normal balance of clinical and biochemical blood examination. </w:t>
            </w:r>
          </w:p>
          <w:p w:rsidR="00F554D6" w:rsidRPr="0074017C" w:rsidRDefault="00F554D6" w:rsidP="003B17DE">
            <w:pPr>
              <w:jc w:val="both"/>
            </w:pPr>
            <w:r w:rsidRPr="0074017C">
              <w:t>The age of the patient for the first prescription should be 18-40 years old.</w:t>
            </w:r>
          </w:p>
          <w:p w:rsidR="00F554D6" w:rsidRPr="0074017C" w:rsidRDefault="00F554D6" w:rsidP="003B17DE">
            <w:pPr>
              <w:jc w:val="both"/>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As single disease modifying therapy in highly active relapsing remitting multiple sclerosis (RRMS) for the following adult patient groups</w:t>
            </w:r>
            <w:r w:rsidRPr="0074017C">
              <w:rPr>
                <w:rStyle w:val="FootnoteReference"/>
              </w:rPr>
              <w:footnoteReference w:id="14"/>
            </w:r>
            <w:r w:rsidRPr="0074017C">
              <w:t xml:space="preserve">: </w:t>
            </w:r>
          </w:p>
          <w:p w:rsidR="00F554D6" w:rsidRPr="0074017C" w:rsidRDefault="00F554D6" w:rsidP="003B17DE">
            <w:pPr>
              <w:jc w:val="both"/>
            </w:pPr>
            <w:r w:rsidRPr="0074017C">
              <w:t>1 Patients with high disease activity despite treatment with a beta-interferon.</w:t>
            </w:r>
            <w:r w:rsidRPr="0074017C">
              <w:br/>
              <w:t>These patients may be defined as those who have failed to respond to a full and adequate course (normally at least one year of treatment) of beta-interferon. Patients should have had at least one relapse in the previous year while on therapy, and have at least nine T2-hyperintense lesions in cranial magnetic resonance imaging (MRI) or at least one gadolinium-enhancing lesion.</w:t>
            </w:r>
            <w:r w:rsidRPr="0074017C">
              <w:br/>
              <w:t>A “non-responder” could also be defined as a patient with an unchanged or increased relapse rate or ongoing severe relapses, as compared to the previous year.</w:t>
            </w:r>
            <w:r w:rsidRPr="0074017C">
              <w:br/>
              <w:t>or</w:t>
            </w:r>
          </w:p>
          <w:p w:rsidR="00F554D6" w:rsidRPr="0074017C" w:rsidRDefault="00F554D6" w:rsidP="003B17DE">
            <w:pPr>
              <w:jc w:val="both"/>
            </w:pPr>
            <w:r w:rsidRPr="0074017C">
              <w:t xml:space="preserve">Patients with rapidly evolving severe RRMS defined by two or more disabling relapses in one year, and with one or more gadolinium enhancing lesions on brain MRI or a significant increase in T2 lesion load as compared to a previous recent MRI. </w:t>
            </w:r>
          </w:p>
          <w:p w:rsidR="00F554D6" w:rsidRPr="0074017C" w:rsidRDefault="00F554D6" w:rsidP="003B17DE">
            <w:pPr>
              <w:jc w:val="both"/>
            </w:pPr>
          </w:p>
          <w:p w:rsidR="00F554D6" w:rsidRPr="0074017C" w:rsidRDefault="00F554D6" w:rsidP="003B17DE">
            <w:pPr>
              <w:jc w:val="both"/>
            </w:pPr>
            <w:r w:rsidRPr="0074017C">
              <w:rPr>
                <w:bCs/>
              </w:rPr>
              <w:t>SMC restriction</w:t>
            </w:r>
            <w:r w:rsidRPr="0074017C">
              <w:t xml:space="preserve">: restricted to use as single disease modifying therapy in highly active RRMS in adult patients with high disease activity despite treatment with a beta-interferon with an </w:t>
            </w:r>
            <w:r w:rsidRPr="0074017C">
              <w:lastRenderedPageBreak/>
              <w:t xml:space="preserve">unchanged or increased relapse rate or ongoing severe relapses, as compared to the previous year. </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lastRenderedPageBreak/>
              <w:t>Avastin (bevacizumab) for the treatment of metastatic colorectal cancer</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0</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NICE</w:t>
            </w:r>
            <w:r w:rsidRPr="0074017C">
              <w:rPr>
                <w:rStyle w:val="FootnoteReference"/>
              </w:rPr>
              <w:footnoteReference w:id="15"/>
            </w:r>
            <w:r w:rsidRPr="0074017C">
              <w:t xml:space="preserve"> does not recommend bevacizumab in combination with oxaliplatin and either fluorouracil plus folinic acid or capecitabine for people with metastatic colorectal cancer.</w:t>
            </w:r>
          </w:p>
          <w:p w:rsidR="00F554D6" w:rsidRPr="0074017C" w:rsidRDefault="00F554D6" w:rsidP="003B17DE">
            <w:pPr>
              <w:jc w:val="both"/>
            </w:pP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Alimta (pemetrexed) for the treatment of NSCLC and mesothelioma</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0</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pPr>
            <w:r w:rsidRPr="0074017C">
              <w:t>Pemetrexed</w:t>
            </w:r>
            <w:r w:rsidRPr="0074017C">
              <w:rPr>
                <w:rStyle w:val="FootnoteReference"/>
              </w:rPr>
              <w:footnoteReference w:id="16"/>
            </w:r>
            <w:r w:rsidRPr="0074017C">
              <w:t xml:space="preserve"> in combination with cisplatin is recommended as an option for the first-line treatment of patients with locally advanced or metastatic non-small-cell lung cancer (NSCLC) only if the histology of the tumour has been confirmed as adenocarcinoma or large-cell carcinoma.</w:t>
            </w:r>
          </w:p>
          <w:p w:rsidR="00F554D6" w:rsidRPr="0074017C" w:rsidRDefault="00F554D6" w:rsidP="003B17DE">
            <w:pPr>
              <w:jc w:val="both"/>
            </w:pPr>
            <w:r w:rsidRPr="0074017C">
              <w:t>Pemetrexed is not recommended for the maintenance treatment of locally advanced or metastatic non-squamous non-small-cell lung cancer in people whose disease has not progressed immediately following induction therapy with pemetrexed and cisplatin.</w:t>
            </w:r>
          </w:p>
          <w:p w:rsidR="00F554D6" w:rsidRPr="0074017C" w:rsidRDefault="00F554D6" w:rsidP="003B17DE">
            <w:pPr>
              <w:jc w:val="both"/>
            </w:pPr>
            <w:r w:rsidRPr="0074017C">
              <w:t>Pemetrexed is recommended as a treatment option for malignant pleural mesothelioma only in people who have a World Health Organization (WHO) performance status of 0 or 1, who are considered to have advanced disease and for whom surgical resection is considered inappropriate.</w:t>
            </w:r>
          </w:p>
        </w:tc>
      </w:tr>
      <w:tr w:rsidR="00F554D6" w:rsidRPr="0074017C" w:rsidTr="003B17DE">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4D6" w:rsidRPr="0074017C" w:rsidRDefault="00F554D6" w:rsidP="003B17DE">
            <w:pPr>
              <w:jc w:val="both"/>
              <w:rPr>
                <w:b/>
              </w:rPr>
            </w:pPr>
            <w:r w:rsidRPr="0074017C">
              <w:rPr>
                <w:b/>
              </w:rPr>
              <w:t>Velcade (bortezomib) for the treatment of multiple myeloma</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pPr>
            <w:r w:rsidRPr="0074017C">
              <w:t>0</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4D6" w:rsidRPr="0074017C" w:rsidRDefault="00F554D6" w:rsidP="003B17DE">
            <w:pPr>
              <w:jc w:val="both"/>
              <w:rPr>
                <w:bCs/>
              </w:rPr>
            </w:pPr>
            <w:r w:rsidRPr="0074017C">
              <w:rPr>
                <w:bCs/>
              </w:rPr>
              <w:t>Bortezomib</w:t>
            </w:r>
            <w:r w:rsidRPr="0074017C">
              <w:rPr>
                <w:rStyle w:val="FootnoteReference"/>
                <w:bCs/>
              </w:rPr>
              <w:footnoteReference w:id="17"/>
            </w:r>
            <w:r w:rsidRPr="0074017C">
              <w:rPr>
                <w:bCs/>
              </w:rPr>
              <w:t xml:space="preserve">monotherapy is recommended as an option for the treatment of progressive </w:t>
            </w:r>
            <w:r w:rsidRPr="0074017C">
              <w:rPr>
                <w:bCs/>
              </w:rPr>
              <w:lastRenderedPageBreak/>
              <w:t>multiple myeloma in people who are at first relapse having received one prior therapy and who have undergone, or are unsuitable for, bone marrow transplantation, under the following circumstances:</w:t>
            </w:r>
          </w:p>
          <w:p w:rsidR="00F554D6" w:rsidRPr="0074017C" w:rsidRDefault="00F554D6" w:rsidP="003B17DE">
            <w:pPr>
              <w:jc w:val="both"/>
              <w:rPr>
                <w:bCs/>
              </w:rPr>
            </w:pPr>
            <w:r w:rsidRPr="0074017C">
              <w:rPr>
                <w:bCs/>
              </w:rPr>
              <w:t xml:space="preserve">-the response to bortezomib is measured using serum M protein after a maximum of four cycles of treatment, and treatment is continued only in people who have a complete or partial response (that is, reduction in serum M protein of 50% or more or, where serum M protein is not measurable, an appropriate alternative biochemical measure of response) and </w:t>
            </w:r>
          </w:p>
          <w:p w:rsidR="00F554D6" w:rsidRPr="0074017C" w:rsidRDefault="00F554D6" w:rsidP="003B17DE">
            <w:pPr>
              <w:jc w:val="both"/>
              <w:rPr>
                <w:bCs/>
              </w:rPr>
            </w:pPr>
            <w:r w:rsidRPr="0074017C">
              <w:rPr>
                <w:bCs/>
              </w:rPr>
              <w:t>-the manufacturer rebates the full cost of bortezomib for people who, after a maximum of four cycles of treatment, have less than a partial response (as defined above).</w:t>
            </w:r>
          </w:p>
          <w:p w:rsidR="00F554D6" w:rsidRPr="0074017C" w:rsidRDefault="00F554D6" w:rsidP="003B17DE">
            <w:pPr>
              <w:jc w:val="both"/>
            </w:pPr>
          </w:p>
        </w:tc>
      </w:tr>
    </w:tbl>
    <w:p w:rsidR="00F554D6" w:rsidRPr="0074017C" w:rsidRDefault="00F554D6" w:rsidP="00F554D6">
      <w:pPr>
        <w:spacing w:after="0" w:line="240" w:lineRule="auto"/>
        <w:jc w:val="both"/>
      </w:pPr>
    </w:p>
    <w:p w:rsidR="003B17DE" w:rsidRPr="0074017C" w:rsidRDefault="00F554D6" w:rsidP="00F554D6">
      <w:pPr>
        <w:spacing w:after="0" w:line="240" w:lineRule="auto"/>
        <w:jc w:val="both"/>
      </w:pPr>
      <w:r w:rsidRPr="0074017C">
        <w:t xml:space="preserve">The MoH and the HIF have as of yet </w:t>
      </w:r>
      <w:r w:rsidR="00604734" w:rsidRPr="0074017C">
        <w:t xml:space="preserve">not </w:t>
      </w:r>
      <w:r w:rsidRPr="0074017C">
        <w:t xml:space="preserve">published </w:t>
      </w:r>
      <w:r w:rsidR="003B17DE" w:rsidRPr="0074017C">
        <w:t xml:space="preserve">official </w:t>
      </w:r>
      <w:r w:rsidRPr="0074017C">
        <w:t>prescribing guidelines for expensive inpatient medicines that would take the cost effectiveness of the use of these products versus less expensive alternatives</w:t>
      </w:r>
      <w:r w:rsidR="00D076D5" w:rsidRPr="0074017C">
        <w:t>into account</w:t>
      </w:r>
      <w:r w:rsidRPr="0074017C">
        <w:t>.</w:t>
      </w:r>
      <w:r w:rsidR="003B17DE" w:rsidRPr="0074017C">
        <w:t xml:space="preserve">Some work on </w:t>
      </w:r>
      <w:r w:rsidR="00F83594" w:rsidRPr="0074017C">
        <w:t>clinical</w:t>
      </w:r>
      <w:r w:rsidR="003B17DE" w:rsidRPr="0074017C">
        <w:t xml:space="preserve"> guidelines </w:t>
      </w:r>
      <w:r w:rsidR="00F83594" w:rsidRPr="0074017C">
        <w:t>appears to have</w:t>
      </w:r>
      <w:r w:rsidR="003B17DE" w:rsidRPr="0074017C">
        <w:t xml:space="preserve"> been undertaken several years ago</w:t>
      </w:r>
      <w:r w:rsidR="00F83594" w:rsidRPr="0074017C">
        <w:t xml:space="preserve">. According to the </w:t>
      </w:r>
      <w:r w:rsidR="003B17DE" w:rsidRPr="0074017C">
        <w:t xml:space="preserve">chief pharmacist </w:t>
      </w:r>
      <w:r w:rsidR="00604734" w:rsidRPr="0074017C">
        <w:t>of</w:t>
      </w:r>
      <w:r w:rsidR="003B17DE" w:rsidRPr="0074017C">
        <w:t xml:space="preserve"> the Mother Teres</w:t>
      </w:r>
      <w:r w:rsidR="00F83594" w:rsidRPr="0074017C">
        <w:t xml:space="preserve">a Clinical Hospital, </w:t>
      </w:r>
      <w:r w:rsidR="00604734" w:rsidRPr="0074017C">
        <w:t>draft guidelines</w:t>
      </w:r>
      <w:r w:rsidR="003B17DE" w:rsidRPr="0074017C">
        <w:t xml:space="preserve"> were </w:t>
      </w:r>
      <w:r w:rsidR="00604734" w:rsidRPr="0074017C">
        <w:t>prepared at the hospital and sent</w:t>
      </w:r>
      <w:r w:rsidR="00F83594" w:rsidRPr="0074017C">
        <w:t xml:space="preserve"> to the Ministry of Health but have since not been implemented. Tentatively, the reason for this was </w:t>
      </w:r>
      <w:r w:rsidR="00604734" w:rsidRPr="0074017C">
        <w:t xml:space="preserve">the unsustainable budget impact of guideline implementation as they implied wide use of very expensive products. </w:t>
      </w:r>
    </w:p>
    <w:p w:rsidR="003B17DE" w:rsidRPr="0074017C" w:rsidRDefault="003B17DE" w:rsidP="00F554D6">
      <w:pPr>
        <w:spacing w:after="0" w:line="240" w:lineRule="auto"/>
        <w:jc w:val="both"/>
      </w:pPr>
    </w:p>
    <w:p w:rsidR="00604734" w:rsidRPr="0074017C" w:rsidRDefault="00F554D6" w:rsidP="00F554D6">
      <w:pPr>
        <w:spacing w:after="0" w:line="240" w:lineRule="auto"/>
        <w:jc w:val="both"/>
      </w:pPr>
      <w:r w:rsidRPr="0074017C">
        <w:t xml:space="preserve">Although the use of </w:t>
      </w:r>
      <w:r w:rsidR="00F83594" w:rsidRPr="0074017C">
        <w:t>expensive inpatient</w:t>
      </w:r>
      <w:r w:rsidRPr="0074017C">
        <w:t xml:space="preserve"> products is limited to the Tertiary Mother Teresa Clinical Hospital (which </w:t>
      </w:r>
      <w:r w:rsidR="00604734" w:rsidRPr="0074017C">
        <w:t>should</w:t>
      </w:r>
      <w:r w:rsidRPr="0074017C">
        <w:t xml:space="preserve"> imply some standardization in treatment protocols), the regulator should set clear rules for which patients the medicines should be used based not only on clinical merit, but also taking into consideration health economic arguments</w:t>
      </w:r>
      <w:r w:rsidR="00604734" w:rsidRPr="0074017C">
        <w:t xml:space="preserve"> and availability of funding</w:t>
      </w:r>
      <w:r w:rsidRPr="0074017C">
        <w:t>.</w:t>
      </w:r>
      <w:r w:rsidR="00604734" w:rsidRPr="0074017C">
        <w:t xml:space="preserve"> Currently, the hospital procures very expensive products in quantities that are in no way sufficient to guarantee equal publicly funded therapy for all patients in need. Instead, drug shortages occur on regular basis and available medicines are rationed using no clear resource allocation methodology. </w:t>
      </w:r>
      <w:r w:rsidR="00223333" w:rsidRPr="0074017C">
        <w:t>Instead, some p</w:t>
      </w:r>
      <w:r w:rsidR="00604734" w:rsidRPr="0074017C">
        <w:t xml:space="preserve">atients appear to be instructed to procure therapy on their own. </w:t>
      </w:r>
      <w:r w:rsidR="00223333" w:rsidRPr="0074017C">
        <w:t>Besides obvious ethical issues, t</w:t>
      </w:r>
      <w:r w:rsidR="00604734" w:rsidRPr="0074017C">
        <w:t xml:space="preserve">his practice has both legal and practical </w:t>
      </w:r>
      <w:r w:rsidR="00223333" w:rsidRPr="0074017C">
        <w:t>problems</w:t>
      </w:r>
      <w:r w:rsidR="00604734" w:rsidRPr="0074017C">
        <w:t>. Pharmacies are by law not allowed to distribute hospital medicines packed in vials and the pharmaceutical cold chain can not be guaranteed</w:t>
      </w:r>
      <w:r w:rsidR="004E7449" w:rsidRPr="0074017C">
        <w:t xml:space="preserve"> if patients transport medicines on their own</w:t>
      </w:r>
      <w:r w:rsidR="00223333" w:rsidRPr="0074017C">
        <w:t>, thus</w:t>
      </w:r>
      <w:r w:rsidR="00604734" w:rsidRPr="0074017C">
        <w:t xml:space="preserve"> potentially compromising the</w:t>
      </w:r>
      <w:r w:rsidR="004E7449" w:rsidRPr="0074017C">
        <w:t>ir</w:t>
      </w:r>
      <w:r w:rsidR="00604734" w:rsidRPr="0074017C">
        <w:t xml:space="preserve"> effectiveness.</w:t>
      </w:r>
    </w:p>
    <w:p w:rsidR="004E7449" w:rsidRPr="0074017C" w:rsidRDefault="004E7449" w:rsidP="00F554D6">
      <w:pPr>
        <w:spacing w:after="0" w:line="240" w:lineRule="auto"/>
        <w:jc w:val="both"/>
      </w:pPr>
    </w:p>
    <w:p w:rsidR="004E7449" w:rsidRPr="0074017C" w:rsidRDefault="004E7449" w:rsidP="00F554D6">
      <w:pPr>
        <w:spacing w:after="0" w:line="240" w:lineRule="auto"/>
        <w:jc w:val="both"/>
      </w:pPr>
      <w:r w:rsidRPr="0074017C">
        <w:lastRenderedPageBreak/>
        <w:t xml:space="preserve">Data on the regional hospitals’ expenditure on medicines could imply the same practice. Their total budgets for medicines increased from 339 million LEK in 2011 to 445 million in 2012, but were than administratively decreased by 40 million LEK </w:t>
      </w:r>
      <w:r w:rsidR="00D076D5" w:rsidRPr="0074017C">
        <w:t xml:space="preserve">(9%) </w:t>
      </w:r>
      <w:r w:rsidRPr="0074017C">
        <w:t>in 2012.</w:t>
      </w:r>
      <w:r w:rsidR="00F002B4" w:rsidRPr="0074017C">
        <w:t xml:space="preserve"> Data for the Tertiary Mother Teresa Clinical hospital was not available for analysis. </w:t>
      </w:r>
    </w:p>
    <w:p w:rsidR="004E7449" w:rsidRPr="0074017C" w:rsidRDefault="004E7449" w:rsidP="00F554D6">
      <w:pPr>
        <w:spacing w:after="0" w:line="240" w:lineRule="auto"/>
        <w:jc w:val="both"/>
      </w:pPr>
    </w:p>
    <w:p w:rsidR="004E7449" w:rsidRPr="0074017C" w:rsidRDefault="004E7449" w:rsidP="00A93829">
      <w:pPr>
        <w:spacing w:after="0" w:line="240" w:lineRule="auto"/>
        <w:jc w:val="both"/>
      </w:pPr>
      <w:r w:rsidRPr="0074017C">
        <w:t>Table 7</w:t>
      </w:r>
      <w:r w:rsidR="00A93829" w:rsidRPr="0074017C">
        <w:t xml:space="preserve"> – Regional hospitals’ expenditure on medicines from 2011-2013</w:t>
      </w:r>
      <w:r w:rsidR="00D076D5" w:rsidRPr="0074017C">
        <w:tab/>
      </w:r>
    </w:p>
    <w:tbl>
      <w:tblPr>
        <w:tblStyle w:val="TableGrid"/>
        <w:tblW w:w="5000" w:type="pct"/>
        <w:tblLook w:val="04A0"/>
      </w:tblPr>
      <w:tblGrid>
        <w:gridCol w:w="2772"/>
        <w:gridCol w:w="3050"/>
        <w:gridCol w:w="1877"/>
        <w:gridCol w:w="1877"/>
      </w:tblGrid>
      <w:tr w:rsidR="004E7449" w:rsidRPr="0074017C" w:rsidTr="00D178C2">
        <w:tc>
          <w:tcPr>
            <w:tcW w:w="1447" w:type="pct"/>
            <w:hideMark/>
          </w:tcPr>
          <w:p w:rsidR="004E7449" w:rsidRPr="0074017C" w:rsidRDefault="004E7449" w:rsidP="004E7449">
            <w:pPr>
              <w:jc w:val="both"/>
              <w:rPr>
                <w:b/>
              </w:rPr>
            </w:pPr>
            <w:r w:rsidRPr="0074017C">
              <w:rPr>
                <w:b/>
              </w:rPr>
              <w:t>Years/Regional hospital</w:t>
            </w:r>
          </w:p>
        </w:tc>
        <w:tc>
          <w:tcPr>
            <w:tcW w:w="1592" w:type="pct"/>
            <w:noWrap/>
            <w:hideMark/>
          </w:tcPr>
          <w:p w:rsidR="004E7449" w:rsidRPr="0074017C" w:rsidRDefault="004E7449" w:rsidP="004E7449">
            <w:pPr>
              <w:jc w:val="both"/>
              <w:rPr>
                <w:b/>
                <w:bCs/>
              </w:rPr>
            </w:pPr>
            <w:r w:rsidRPr="0074017C">
              <w:rPr>
                <w:b/>
                <w:bCs/>
              </w:rPr>
              <w:t>2011</w:t>
            </w:r>
          </w:p>
        </w:tc>
        <w:tc>
          <w:tcPr>
            <w:tcW w:w="980" w:type="pct"/>
            <w:noWrap/>
            <w:hideMark/>
          </w:tcPr>
          <w:p w:rsidR="004E7449" w:rsidRPr="0074017C" w:rsidRDefault="004E7449" w:rsidP="004E7449">
            <w:pPr>
              <w:jc w:val="both"/>
              <w:rPr>
                <w:b/>
                <w:bCs/>
              </w:rPr>
            </w:pPr>
            <w:r w:rsidRPr="0074017C">
              <w:rPr>
                <w:b/>
                <w:bCs/>
              </w:rPr>
              <w:t>2012</w:t>
            </w:r>
          </w:p>
        </w:tc>
        <w:tc>
          <w:tcPr>
            <w:tcW w:w="980" w:type="pct"/>
            <w:noWrap/>
            <w:hideMark/>
          </w:tcPr>
          <w:p w:rsidR="004E7449" w:rsidRPr="0074017C" w:rsidRDefault="004E7449" w:rsidP="004E7449">
            <w:pPr>
              <w:jc w:val="both"/>
              <w:rPr>
                <w:b/>
                <w:bCs/>
              </w:rPr>
            </w:pPr>
            <w:r w:rsidRPr="0074017C">
              <w:rPr>
                <w:b/>
                <w:bCs/>
              </w:rPr>
              <w:t>2013</w:t>
            </w:r>
          </w:p>
        </w:tc>
      </w:tr>
      <w:tr w:rsidR="004E7449" w:rsidRPr="0074017C" w:rsidTr="00D178C2">
        <w:tc>
          <w:tcPr>
            <w:tcW w:w="1447" w:type="pct"/>
            <w:noWrap/>
            <w:hideMark/>
          </w:tcPr>
          <w:p w:rsidR="004E7449" w:rsidRPr="0074017C" w:rsidRDefault="004E7449" w:rsidP="004E7449">
            <w:pPr>
              <w:jc w:val="both"/>
              <w:rPr>
                <w:b/>
                <w:bCs/>
              </w:rPr>
            </w:pPr>
            <w:r w:rsidRPr="0074017C">
              <w:rPr>
                <w:b/>
                <w:bCs/>
              </w:rPr>
              <w:t>Berat</w:t>
            </w:r>
          </w:p>
        </w:tc>
        <w:tc>
          <w:tcPr>
            <w:tcW w:w="1592" w:type="pct"/>
            <w:hideMark/>
          </w:tcPr>
          <w:p w:rsidR="004E7449" w:rsidRPr="0074017C" w:rsidRDefault="004E7449" w:rsidP="004E7449">
            <w:pPr>
              <w:jc w:val="both"/>
            </w:pPr>
            <w:r w:rsidRPr="0074017C">
              <w:t xml:space="preserve">51.633.454,38 </w:t>
            </w:r>
          </w:p>
        </w:tc>
        <w:tc>
          <w:tcPr>
            <w:tcW w:w="980" w:type="pct"/>
            <w:noWrap/>
            <w:hideMark/>
          </w:tcPr>
          <w:p w:rsidR="004E7449" w:rsidRPr="0074017C" w:rsidRDefault="004E7449" w:rsidP="004E7449">
            <w:pPr>
              <w:jc w:val="both"/>
            </w:pPr>
            <w:r w:rsidRPr="0074017C">
              <w:t>40.353.284,16</w:t>
            </w:r>
          </w:p>
        </w:tc>
        <w:tc>
          <w:tcPr>
            <w:tcW w:w="980" w:type="pct"/>
            <w:noWrap/>
            <w:hideMark/>
          </w:tcPr>
          <w:p w:rsidR="004E7449" w:rsidRPr="0074017C" w:rsidRDefault="004E7449" w:rsidP="004E7449">
            <w:pPr>
              <w:jc w:val="both"/>
            </w:pPr>
            <w:r w:rsidRPr="0074017C">
              <w:t>40.164.097,78</w:t>
            </w:r>
          </w:p>
        </w:tc>
      </w:tr>
      <w:tr w:rsidR="004E7449" w:rsidRPr="0074017C" w:rsidTr="00D178C2">
        <w:tc>
          <w:tcPr>
            <w:tcW w:w="1447" w:type="pct"/>
            <w:noWrap/>
            <w:hideMark/>
          </w:tcPr>
          <w:p w:rsidR="004E7449" w:rsidRPr="0074017C" w:rsidRDefault="004E7449" w:rsidP="004E7449">
            <w:pPr>
              <w:jc w:val="both"/>
              <w:rPr>
                <w:b/>
                <w:bCs/>
              </w:rPr>
            </w:pPr>
            <w:r w:rsidRPr="0074017C">
              <w:rPr>
                <w:b/>
                <w:bCs/>
              </w:rPr>
              <w:t>Durres</w:t>
            </w:r>
          </w:p>
        </w:tc>
        <w:tc>
          <w:tcPr>
            <w:tcW w:w="1592" w:type="pct"/>
            <w:noWrap/>
            <w:hideMark/>
          </w:tcPr>
          <w:p w:rsidR="004E7449" w:rsidRPr="0074017C" w:rsidRDefault="004E7449" w:rsidP="004E7449">
            <w:pPr>
              <w:jc w:val="both"/>
            </w:pPr>
            <w:r w:rsidRPr="0074017C">
              <w:t>59.623.598,12</w:t>
            </w:r>
          </w:p>
        </w:tc>
        <w:tc>
          <w:tcPr>
            <w:tcW w:w="980" w:type="pct"/>
            <w:noWrap/>
            <w:hideMark/>
          </w:tcPr>
          <w:p w:rsidR="004E7449" w:rsidRPr="0074017C" w:rsidRDefault="004E7449" w:rsidP="004E7449">
            <w:pPr>
              <w:jc w:val="both"/>
            </w:pPr>
            <w:r w:rsidRPr="0074017C">
              <w:t>87.590.666,30</w:t>
            </w:r>
          </w:p>
        </w:tc>
        <w:tc>
          <w:tcPr>
            <w:tcW w:w="980" w:type="pct"/>
            <w:noWrap/>
            <w:hideMark/>
          </w:tcPr>
          <w:p w:rsidR="004E7449" w:rsidRPr="0074017C" w:rsidRDefault="004E7449" w:rsidP="004E7449">
            <w:pPr>
              <w:jc w:val="both"/>
            </w:pPr>
            <w:r w:rsidRPr="0074017C">
              <w:t>77.387.943,23</w:t>
            </w:r>
          </w:p>
        </w:tc>
      </w:tr>
      <w:tr w:rsidR="004E7449" w:rsidRPr="0074017C" w:rsidTr="00D178C2">
        <w:tc>
          <w:tcPr>
            <w:tcW w:w="1447" w:type="pct"/>
            <w:noWrap/>
            <w:hideMark/>
          </w:tcPr>
          <w:p w:rsidR="004E7449" w:rsidRPr="0074017C" w:rsidRDefault="004E7449" w:rsidP="004E7449">
            <w:pPr>
              <w:jc w:val="both"/>
              <w:rPr>
                <w:b/>
                <w:bCs/>
              </w:rPr>
            </w:pPr>
            <w:r w:rsidRPr="0074017C">
              <w:rPr>
                <w:b/>
                <w:bCs/>
              </w:rPr>
              <w:t>Elbasan</w:t>
            </w:r>
          </w:p>
        </w:tc>
        <w:tc>
          <w:tcPr>
            <w:tcW w:w="1592" w:type="pct"/>
            <w:noWrap/>
            <w:hideMark/>
          </w:tcPr>
          <w:p w:rsidR="004E7449" w:rsidRPr="0074017C" w:rsidRDefault="004E7449" w:rsidP="004E7449">
            <w:pPr>
              <w:jc w:val="both"/>
            </w:pPr>
            <w:r w:rsidRPr="0074017C">
              <w:t>31.084.238,87</w:t>
            </w:r>
          </w:p>
        </w:tc>
        <w:tc>
          <w:tcPr>
            <w:tcW w:w="980" w:type="pct"/>
            <w:noWrap/>
            <w:hideMark/>
          </w:tcPr>
          <w:p w:rsidR="004E7449" w:rsidRPr="0074017C" w:rsidRDefault="004E7449" w:rsidP="004E7449">
            <w:pPr>
              <w:jc w:val="both"/>
            </w:pPr>
            <w:r w:rsidRPr="0074017C">
              <w:t>45.369.249,85</w:t>
            </w:r>
          </w:p>
        </w:tc>
        <w:tc>
          <w:tcPr>
            <w:tcW w:w="980" w:type="pct"/>
            <w:noWrap/>
            <w:hideMark/>
          </w:tcPr>
          <w:p w:rsidR="004E7449" w:rsidRPr="0074017C" w:rsidRDefault="004E7449" w:rsidP="004E7449">
            <w:pPr>
              <w:jc w:val="both"/>
            </w:pPr>
            <w:r w:rsidRPr="0074017C">
              <w:t>39.413.815,71</w:t>
            </w:r>
          </w:p>
        </w:tc>
      </w:tr>
      <w:tr w:rsidR="004E7449" w:rsidRPr="0074017C" w:rsidTr="00D178C2">
        <w:tc>
          <w:tcPr>
            <w:tcW w:w="1447" w:type="pct"/>
            <w:noWrap/>
            <w:hideMark/>
          </w:tcPr>
          <w:p w:rsidR="004E7449" w:rsidRPr="0074017C" w:rsidRDefault="004E7449" w:rsidP="004E7449">
            <w:pPr>
              <w:jc w:val="both"/>
              <w:rPr>
                <w:b/>
                <w:bCs/>
              </w:rPr>
            </w:pPr>
            <w:r w:rsidRPr="0074017C">
              <w:rPr>
                <w:b/>
                <w:bCs/>
              </w:rPr>
              <w:t>Fier</w:t>
            </w:r>
          </w:p>
        </w:tc>
        <w:tc>
          <w:tcPr>
            <w:tcW w:w="1592" w:type="pct"/>
            <w:noWrap/>
            <w:hideMark/>
          </w:tcPr>
          <w:p w:rsidR="004E7449" w:rsidRPr="0074017C" w:rsidRDefault="004E7449" w:rsidP="004E7449">
            <w:pPr>
              <w:jc w:val="both"/>
            </w:pPr>
            <w:r w:rsidRPr="0074017C">
              <w:t>40.910.322,85</w:t>
            </w:r>
          </w:p>
        </w:tc>
        <w:tc>
          <w:tcPr>
            <w:tcW w:w="980" w:type="pct"/>
            <w:noWrap/>
            <w:hideMark/>
          </w:tcPr>
          <w:p w:rsidR="004E7449" w:rsidRPr="0074017C" w:rsidRDefault="004E7449" w:rsidP="004E7449">
            <w:pPr>
              <w:jc w:val="both"/>
            </w:pPr>
            <w:r w:rsidRPr="0074017C">
              <w:t>45.452.580,13</w:t>
            </w:r>
          </w:p>
        </w:tc>
        <w:tc>
          <w:tcPr>
            <w:tcW w:w="980" w:type="pct"/>
            <w:noWrap/>
            <w:hideMark/>
          </w:tcPr>
          <w:p w:rsidR="004E7449" w:rsidRPr="0074017C" w:rsidRDefault="004E7449" w:rsidP="004E7449">
            <w:pPr>
              <w:jc w:val="both"/>
            </w:pPr>
            <w:r w:rsidRPr="0074017C">
              <w:t>42.971.158,43</w:t>
            </w:r>
          </w:p>
        </w:tc>
      </w:tr>
      <w:tr w:rsidR="004E7449" w:rsidRPr="0074017C" w:rsidTr="00D178C2">
        <w:tc>
          <w:tcPr>
            <w:tcW w:w="1447" w:type="pct"/>
            <w:noWrap/>
            <w:hideMark/>
          </w:tcPr>
          <w:p w:rsidR="004E7449" w:rsidRPr="0074017C" w:rsidRDefault="004E7449" w:rsidP="004E7449">
            <w:pPr>
              <w:jc w:val="both"/>
              <w:rPr>
                <w:b/>
                <w:bCs/>
              </w:rPr>
            </w:pPr>
            <w:r w:rsidRPr="0074017C">
              <w:rPr>
                <w:b/>
                <w:bCs/>
              </w:rPr>
              <w:t>Gjirokaster</w:t>
            </w:r>
          </w:p>
        </w:tc>
        <w:tc>
          <w:tcPr>
            <w:tcW w:w="1592" w:type="pct"/>
            <w:noWrap/>
            <w:hideMark/>
          </w:tcPr>
          <w:p w:rsidR="004E7449" w:rsidRPr="0074017C" w:rsidRDefault="004E7449" w:rsidP="004E7449">
            <w:pPr>
              <w:jc w:val="both"/>
            </w:pPr>
            <w:r w:rsidRPr="0074017C">
              <w:t>30.793.354,91</w:t>
            </w:r>
          </w:p>
        </w:tc>
        <w:tc>
          <w:tcPr>
            <w:tcW w:w="980" w:type="pct"/>
            <w:noWrap/>
            <w:hideMark/>
          </w:tcPr>
          <w:p w:rsidR="004E7449" w:rsidRPr="0074017C" w:rsidRDefault="004E7449" w:rsidP="004E7449">
            <w:pPr>
              <w:jc w:val="both"/>
            </w:pPr>
            <w:r w:rsidRPr="0074017C">
              <w:t>29.846.094,40</w:t>
            </w:r>
          </w:p>
        </w:tc>
        <w:tc>
          <w:tcPr>
            <w:tcW w:w="980" w:type="pct"/>
            <w:noWrap/>
            <w:hideMark/>
          </w:tcPr>
          <w:p w:rsidR="004E7449" w:rsidRPr="0074017C" w:rsidRDefault="004E7449" w:rsidP="004E7449">
            <w:pPr>
              <w:jc w:val="both"/>
            </w:pPr>
            <w:r w:rsidRPr="0074017C">
              <w:t>24.500.165,35</w:t>
            </w:r>
          </w:p>
        </w:tc>
      </w:tr>
      <w:tr w:rsidR="004E7449" w:rsidRPr="0074017C" w:rsidTr="00D178C2">
        <w:tc>
          <w:tcPr>
            <w:tcW w:w="1447" w:type="pct"/>
            <w:noWrap/>
            <w:hideMark/>
          </w:tcPr>
          <w:p w:rsidR="004E7449" w:rsidRPr="0074017C" w:rsidRDefault="004E7449" w:rsidP="004E7449">
            <w:pPr>
              <w:jc w:val="both"/>
              <w:rPr>
                <w:b/>
                <w:bCs/>
              </w:rPr>
            </w:pPr>
            <w:r w:rsidRPr="0074017C">
              <w:rPr>
                <w:b/>
                <w:bCs/>
              </w:rPr>
              <w:t>Kruje</w:t>
            </w:r>
          </w:p>
        </w:tc>
        <w:tc>
          <w:tcPr>
            <w:tcW w:w="1592" w:type="pct"/>
            <w:noWrap/>
            <w:hideMark/>
          </w:tcPr>
          <w:p w:rsidR="004E7449" w:rsidRPr="0074017C" w:rsidRDefault="004E7449" w:rsidP="004E7449">
            <w:pPr>
              <w:jc w:val="both"/>
            </w:pPr>
            <w:r w:rsidRPr="0074017C">
              <w:t>7.897.141,17</w:t>
            </w:r>
          </w:p>
        </w:tc>
        <w:tc>
          <w:tcPr>
            <w:tcW w:w="980" w:type="pct"/>
            <w:noWrap/>
            <w:hideMark/>
          </w:tcPr>
          <w:p w:rsidR="004E7449" w:rsidRPr="0074017C" w:rsidRDefault="004E7449" w:rsidP="004E7449">
            <w:pPr>
              <w:jc w:val="both"/>
            </w:pPr>
            <w:r w:rsidRPr="0074017C">
              <w:t>7.250.905,21</w:t>
            </w:r>
          </w:p>
        </w:tc>
        <w:tc>
          <w:tcPr>
            <w:tcW w:w="980" w:type="pct"/>
            <w:noWrap/>
            <w:hideMark/>
          </w:tcPr>
          <w:p w:rsidR="004E7449" w:rsidRPr="0074017C" w:rsidRDefault="004E7449" w:rsidP="004E7449">
            <w:pPr>
              <w:jc w:val="both"/>
            </w:pPr>
            <w:r w:rsidRPr="0074017C">
              <w:t>6.073.129,53</w:t>
            </w:r>
          </w:p>
        </w:tc>
      </w:tr>
      <w:tr w:rsidR="004E7449" w:rsidRPr="0074017C" w:rsidTr="00D178C2">
        <w:tc>
          <w:tcPr>
            <w:tcW w:w="1447" w:type="pct"/>
            <w:noWrap/>
            <w:hideMark/>
          </w:tcPr>
          <w:p w:rsidR="004E7449" w:rsidRPr="0074017C" w:rsidRDefault="004E7449" w:rsidP="004E7449">
            <w:pPr>
              <w:jc w:val="both"/>
              <w:rPr>
                <w:b/>
                <w:bCs/>
              </w:rPr>
            </w:pPr>
            <w:r w:rsidRPr="0074017C">
              <w:rPr>
                <w:b/>
                <w:bCs/>
              </w:rPr>
              <w:t>Korce</w:t>
            </w:r>
          </w:p>
        </w:tc>
        <w:tc>
          <w:tcPr>
            <w:tcW w:w="1592" w:type="pct"/>
            <w:noWrap/>
            <w:hideMark/>
          </w:tcPr>
          <w:p w:rsidR="004E7449" w:rsidRPr="0074017C" w:rsidRDefault="004E7449" w:rsidP="004E7449">
            <w:pPr>
              <w:jc w:val="both"/>
            </w:pPr>
            <w:r w:rsidRPr="0074017C">
              <w:t>37.897.120,17</w:t>
            </w:r>
          </w:p>
        </w:tc>
        <w:tc>
          <w:tcPr>
            <w:tcW w:w="980" w:type="pct"/>
            <w:noWrap/>
            <w:hideMark/>
          </w:tcPr>
          <w:p w:rsidR="004E7449" w:rsidRPr="0074017C" w:rsidRDefault="004E7449" w:rsidP="004E7449">
            <w:pPr>
              <w:jc w:val="both"/>
            </w:pPr>
            <w:r w:rsidRPr="0074017C">
              <w:t>74.536.703,54</w:t>
            </w:r>
          </w:p>
        </w:tc>
        <w:tc>
          <w:tcPr>
            <w:tcW w:w="980" w:type="pct"/>
            <w:noWrap/>
            <w:hideMark/>
          </w:tcPr>
          <w:p w:rsidR="004E7449" w:rsidRPr="0074017C" w:rsidRDefault="004E7449" w:rsidP="004E7449">
            <w:pPr>
              <w:jc w:val="both"/>
            </w:pPr>
            <w:r w:rsidRPr="0074017C">
              <w:t>51.349.923,97</w:t>
            </w:r>
          </w:p>
        </w:tc>
      </w:tr>
      <w:tr w:rsidR="004E7449" w:rsidRPr="0074017C" w:rsidTr="00D178C2">
        <w:tc>
          <w:tcPr>
            <w:tcW w:w="1447" w:type="pct"/>
            <w:noWrap/>
            <w:hideMark/>
          </w:tcPr>
          <w:p w:rsidR="004E7449" w:rsidRPr="0074017C" w:rsidRDefault="004E7449" w:rsidP="004E7449">
            <w:pPr>
              <w:jc w:val="both"/>
              <w:rPr>
                <w:b/>
                <w:bCs/>
              </w:rPr>
            </w:pPr>
            <w:r w:rsidRPr="0074017C">
              <w:rPr>
                <w:b/>
                <w:bCs/>
              </w:rPr>
              <w:t>Kukes</w:t>
            </w:r>
          </w:p>
        </w:tc>
        <w:tc>
          <w:tcPr>
            <w:tcW w:w="1592" w:type="pct"/>
            <w:noWrap/>
            <w:hideMark/>
          </w:tcPr>
          <w:p w:rsidR="004E7449" w:rsidRPr="0074017C" w:rsidRDefault="004E7449" w:rsidP="004E7449">
            <w:pPr>
              <w:jc w:val="both"/>
            </w:pPr>
            <w:r w:rsidRPr="0074017C">
              <w:t>15.057.510,63</w:t>
            </w:r>
          </w:p>
        </w:tc>
        <w:tc>
          <w:tcPr>
            <w:tcW w:w="980" w:type="pct"/>
            <w:noWrap/>
            <w:hideMark/>
          </w:tcPr>
          <w:p w:rsidR="004E7449" w:rsidRPr="0074017C" w:rsidRDefault="004E7449" w:rsidP="004E7449">
            <w:pPr>
              <w:jc w:val="both"/>
            </w:pPr>
            <w:r w:rsidRPr="0074017C">
              <w:t>20.734.902,07</w:t>
            </w:r>
          </w:p>
        </w:tc>
        <w:tc>
          <w:tcPr>
            <w:tcW w:w="980" w:type="pct"/>
            <w:noWrap/>
            <w:hideMark/>
          </w:tcPr>
          <w:p w:rsidR="004E7449" w:rsidRPr="0074017C" w:rsidRDefault="004E7449" w:rsidP="004E7449">
            <w:pPr>
              <w:jc w:val="both"/>
            </w:pPr>
            <w:r w:rsidRPr="0074017C">
              <w:t>24.343.705,72</w:t>
            </w:r>
          </w:p>
        </w:tc>
      </w:tr>
      <w:tr w:rsidR="004E7449" w:rsidRPr="0074017C" w:rsidTr="00D178C2">
        <w:tc>
          <w:tcPr>
            <w:tcW w:w="1447" w:type="pct"/>
            <w:noWrap/>
            <w:hideMark/>
          </w:tcPr>
          <w:p w:rsidR="004E7449" w:rsidRPr="0074017C" w:rsidRDefault="004E7449" w:rsidP="004E7449">
            <w:pPr>
              <w:jc w:val="both"/>
              <w:rPr>
                <w:b/>
                <w:bCs/>
              </w:rPr>
            </w:pPr>
            <w:r w:rsidRPr="0074017C">
              <w:rPr>
                <w:b/>
                <w:bCs/>
              </w:rPr>
              <w:t>Lezhe</w:t>
            </w:r>
          </w:p>
        </w:tc>
        <w:tc>
          <w:tcPr>
            <w:tcW w:w="1592" w:type="pct"/>
            <w:noWrap/>
            <w:hideMark/>
          </w:tcPr>
          <w:p w:rsidR="004E7449" w:rsidRPr="0074017C" w:rsidRDefault="004E7449" w:rsidP="004E7449">
            <w:pPr>
              <w:jc w:val="both"/>
            </w:pPr>
            <w:r w:rsidRPr="0074017C">
              <w:t>18.577.123,70</w:t>
            </w:r>
          </w:p>
        </w:tc>
        <w:tc>
          <w:tcPr>
            <w:tcW w:w="980" w:type="pct"/>
            <w:noWrap/>
            <w:hideMark/>
          </w:tcPr>
          <w:p w:rsidR="004E7449" w:rsidRPr="0074017C" w:rsidRDefault="004E7449" w:rsidP="004E7449">
            <w:pPr>
              <w:jc w:val="both"/>
            </w:pPr>
            <w:r w:rsidRPr="0074017C">
              <w:t>21.117.970,63</w:t>
            </w:r>
          </w:p>
        </w:tc>
        <w:tc>
          <w:tcPr>
            <w:tcW w:w="980" w:type="pct"/>
            <w:noWrap/>
            <w:hideMark/>
          </w:tcPr>
          <w:p w:rsidR="004E7449" w:rsidRPr="0074017C" w:rsidRDefault="004E7449" w:rsidP="004E7449">
            <w:pPr>
              <w:jc w:val="both"/>
            </w:pPr>
            <w:r w:rsidRPr="0074017C">
              <w:t>20.692.299,39</w:t>
            </w:r>
          </w:p>
        </w:tc>
      </w:tr>
      <w:tr w:rsidR="004E7449" w:rsidRPr="0074017C" w:rsidTr="00D178C2">
        <w:tc>
          <w:tcPr>
            <w:tcW w:w="1447" w:type="pct"/>
            <w:noWrap/>
            <w:hideMark/>
          </w:tcPr>
          <w:p w:rsidR="004E7449" w:rsidRPr="0074017C" w:rsidRDefault="004E7449" w:rsidP="004E7449">
            <w:pPr>
              <w:jc w:val="both"/>
              <w:rPr>
                <w:b/>
                <w:bCs/>
              </w:rPr>
            </w:pPr>
            <w:r w:rsidRPr="0074017C">
              <w:rPr>
                <w:b/>
                <w:bCs/>
              </w:rPr>
              <w:t>Shkoder</w:t>
            </w:r>
          </w:p>
        </w:tc>
        <w:tc>
          <w:tcPr>
            <w:tcW w:w="1592" w:type="pct"/>
            <w:noWrap/>
            <w:hideMark/>
          </w:tcPr>
          <w:p w:rsidR="004E7449" w:rsidRPr="0074017C" w:rsidRDefault="004E7449" w:rsidP="004E7449">
            <w:pPr>
              <w:jc w:val="both"/>
            </w:pPr>
            <w:r w:rsidRPr="0074017C">
              <w:t>26.920.151,06</w:t>
            </w:r>
          </w:p>
        </w:tc>
        <w:tc>
          <w:tcPr>
            <w:tcW w:w="980" w:type="pct"/>
            <w:noWrap/>
            <w:hideMark/>
          </w:tcPr>
          <w:p w:rsidR="004E7449" w:rsidRPr="0074017C" w:rsidRDefault="004E7449" w:rsidP="004E7449">
            <w:pPr>
              <w:jc w:val="both"/>
            </w:pPr>
            <w:r w:rsidRPr="0074017C">
              <w:t>19.640.507,93</w:t>
            </w:r>
          </w:p>
        </w:tc>
        <w:tc>
          <w:tcPr>
            <w:tcW w:w="980" w:type="pct"/>
            <w:noWrap/>
            <w:hideMark/>
          </w:tcPr>
          <w:p w:rsidR="004E7449" w:rsidRPr="0074017C" w:rsidRDefault="004E7449" w:rsidP="004E7449">
            <w:pPr>
              <w:jc w:val="both"/>
            </w:pPr>
            <w:r w:rsidRPr="0074017C">
              <w:t>24.617.346,82</w:t>
            </w:r>
          </w:p>
        </w:tc>
      </w:tr>
      <w:tr w:rsidR="004E7449" w:rsidRPr="0074017C" w:rsidTr="00D178C2">
        <w:tc>
          <w:tcPr>
            <w:tcW w:w="1447" w:type="pct"/>
            <w:noWrap/>
            <w:hideMark/>
          </w:tcPr>
          <w:p w:rsidR="004E7449" w:rsidRPr="0074017C" w:rsidRDefault="004E7449" w:rsidP="004E7449">
            <w:pPr>
              <w:jc w:val="both"/>
              <w:rPr>
                <w:b/>
                <w:bCs/>
              </w:rPr>
            </w:pPr>
            <w:r w:rsidRPr="0074017C">
              <w:rPr>
                <w:b/>
                <w:bCs/>
              </w:rPr>
              <w:t>Vlore</w:t>
            </w:r>
          </w:p>
        </w:tc>
        <w:tc>
          <w:tcPr>
            <w:tcW w:w="1592" w:type="pct"/>
            <w:noWrap/>
            <w:hideMark/>
          </w:tcPr>
          <w:p w:rsidR="004E7449" w:rsidRPr="0074017C" w:rsidRDefault="004E7449" w:rsidP="004E7449">
            <w:pPr>
              <w:jc w:val="both"/>
            </w:pPr>
            <w:r w:rsidRPr="0074017C">
              <w:t>19.165.021,49</w:t>
            </w:r>
          </w:p>
        </w:tc>
        <w:tc>
          <w:tcPr>
            <w:tcW w:w="980" w:type="pct"/>
            <w:noWrap/>
            <w:hideMark/>
          </w:tcPr>
          <w:p w:rsidR="004E7449" w:rsidRPr="0074017C" w:rsidRDefault="004E7449" w:rsidP="004E7449">
            <w:pPr>
              <w:jc w:val="both"/>
            </w:pPr>
            <w:r w:rsidRPr="0074017C">
              <w:t>53.719.409,75</w:t>
            </w:r>
          </w:p>
        </w:tc>
        <w:tc>
          <w:tcPr>
            <w:tcW w:w="980" w:type="pct"/>
            <w:noWrap/>
            <w:hideMark/>
          </w:tcPr>
          <w:p w:rsidR="004E7449" w:rsidRPr="0074017C" w:rsidRDefault="004E7449" w:rsidP="004E7449">
            <w:pPr>
              <w:jc w:val="both"/>
            </w:pPr>
            <w:r w:rsidRPr="0074017C">
              <w:t>53.577.011,30</w:t>
            </w:r>
          </w:p>
        </w:tc>
      </w:tr>
      <w:tr w:rsidR="004E7449" w:rsidRPr="0074017C" w:rsidTr="00D178C2">
        <w:tc>
          <w:tcPr>
            <w:tcW w:w="1447" w:type="pct"/>
            <w:noWrap/>
            <w:hideMark/>
          </w:tcPr>
          <w:p w:rsidR="004E7449" w:rsidRPr="0074017C" w:rsidRDefault="004E7449" w:rsidP="004E7449">
            <w:pPr>
              <w:jc w:val="both"/>
              <w:rPr>
                <w:b/>
                <w:bCs/>
              </w:rPr>
            </w:pPr>
            <w:r w:rsidRPr="0074017C">
              <w:rPr>
                <w:b/>
                <w:bCs/>
              </w:rPr>
              <w:t>Total</w:t>
            </w:r>
          </w:p>
        </w:tc>
        <w:tc>
          <w:tcPr>
            <w:tcW w:w="1592" w:type="pct"/>
            <w:noWrap/>
            <w:hideMark/>
          </w:tcPr>
          <w:p w:rsidR="004E7449" w:rsidRPr="0074017C" w:rsidRDefault="004E7449" w:rsidP="00D076D5">
            <w:pPr>
              <w:tabs>
                <w:tab w:val="right" w:pos="2410"/>
              </w:tabs>
              <w:jc w:val="both"/>
              <w:rPr>
                <w:b/>
              </w:rPr>
            </w:pPr>
            <w:r w:rsidRPr="0074017C">
              <w:rPr>
                <w:b/>
              </w:rPr>
              <w:t>339.559.037,35</w:t>
            </w:r>
            <w:r w:rsidR="00D076D5" w:rsidRPr="0074017C">
              <w:rPr>
                <w:b/>
              </w:rPr>
              <w:tab/>
            </w:r>
          </w:p>
        </w:tc>
        <w:tc>
          <w:tcPr>
            <w:tcW w:w="980" w:type="pct"/>
            <w:noWrap/>
            <w:hideMark/>
          </w:tcPr>
          <w:p w:rsidR="004E7449" w:rsidRPr="0074017C" w:rsidRDefault="004E7449" w:rsidP="004E7449">
            <w:pPr>
              <w:jc w:val="both"/>
              <w:rPr>
                <w:b/>
              </w:rPr>
            </w:pPr>
            <w:r w:rsidRPr="0074017C">
              <w:rPr>
                <w:b/>
              </w:rPr>
              <w:t>445.612.273,97</w:t>
            </w:r>
          </w:p>
        </w:tc>
        <w:tc>
          <w:tcPr>
            <w:tcW w:w="980" w:type="pct"/>
            <w:noWrap/>
            <w:hideMark/>
          </w:tcPr>
          <w:p w:rsidR="004E7449" w:rsidRPr="0074017C" w:rsidRDefault="004E7449" w:rsidP="004E7449">
            <w:pPr>
              <w:jc w:val="both"/>
              <w:rPr>
                <w:b/>
              </w:rPr>
            </w:pPr>
            <w:r w:rsidRPr="0074017C">
              <w:rPr>
                <w:b/>
              </w:rPr>
              <w:t>405.090.597,23</w:t>
            </w:r>
          </w:p>
        </w:tc>
      </w:tr>
    </w:tbl>
    <w:p w:rsidR="004E7449" w:rsidRPr="0074017C" w:rsidRDefault="004E7449" w:rsidP="00F554D6">
      <w:pPr>
        <w:spacing w:after="0" w:line="240" w:lineRule="auto"/>
        <w:jc w:val="both"/>
      </w:pPr>
    </w:p>
    <w:p w:rsidR="00F554D6" w:rsidRPr="00EC6E97" w:rsidRDefault="004E7449" w:rsidP="00F554D6">
      <w:pPr>
        <w:spacing w:after="0" w:line="240" w:lineRule="auto"/>
        <w:jc w:val="both"/>
        <w:rPr>
          <w:b/>
        </w:rPr>
      </w:pPr>
      <w:r w:rsidRPr="00EC6E97">
        <w:rPr>
          <w:b/>
        </w:rPr>
        <w:t>I</w:t>
      </w:r>
      <w:r w:rsidR="00F554D6" w:rsidRPr="00EC6E97">
        <w:rPr>
          <w:b/>
        </w:rPr>
        <w:t xml:space="preserve">n addition, treatment could be rationalized. For instance, contrary to Albania and the majority of European countries, in England NICE does not recommend the use of Avastin for metastatic colorectal cancer as it judged that it does not provide enough benefit to patients to justify its high costs. </w:t>
      </w:r>
    </w:p>
    <w:p w:rsidR="00F554D6" w:rsidRPr="00EC6E97" w:rsidRDefault="00F554D6" w:rsidP="00F554D6">
      <w:pPr>
        <w:spacing w:after="0" w:line="240" w:lineRule="auto"/>
        <w:jc w:val="both"/>
        <w:rPr>
          <w:b/>
          <w:color w:val="FF0000"/>
        </w:rPr>
      </w:pPr>
    </w:p>
    <w:p w:rsidR="00F554D6" w:rsidRPr="00D12CE3" w:rsidRDefault="00F554D6" w:rsidP="00F554D6">
      <w:pPr>
        <w:spacing w:after="0" w:line="240" w:lineRule="auto"/>
        <w:jc w:val="both"/>
        <w:rPr>
          <w:b/>
          <w:bCs/>
        </w:rPr>
      </w:pPr>
      <w:r w:rsidRPr="00D12CE3">
        <w:rPr>
          <w:b/>
        </w:rPr>
        <w:t xml:space="preserve">In general, most Albanian prescribing guidelines for prescription medicines and those for expensive outpatient medicines could be stricter </w:t>
      </w:r>
      <w:r w:rsidR="003B17DE" w:rsidRPr="00D12CE3">
        <w:rPr>
          <w:b/>
        </w:rPr>
        <w:t>or</w:t>
      </w:r>
      <w:r w:rsidRPr="00D12CE3">
        <w:rPr>
          <w:b/>
        </w:rPr>
        <w:t xml:space="preserve"> better defined. For instance, the HIF does not restrict statin prescribing while the Croatian Health Insurance Fund requires that for primary prevention statins can be prescribed only to patients with high cholesterol levels despite dieting and if they are aged under 70. In Albania, sartans can be prescribed for ACE inhibitor intolerant patients (caugh is the most common side effect) af</w:t>
      </w:r>
      <w:r w:rsidR="0074017C" w:rsidRPr="00D12CE3">
        <w:rPr>
          <w:b/>
        </w:rPr>
        <w:t>t</w:t>
      </w:r>
      <w:r w:rsidRPr="00D12CE3">
        <w:rPr>
          <w:b/>
        </w:rPr>
        <w:t xml:space="preserve">er 2 months of therapy, while in Croatia this period extends to 4 months to rule out seasonal respiratory diseases as a potential cause of caugh. In Albania, Xolair can be prescribed for treatment of severe persistent confirmed allergic asthma defined as for patients having frequent exacerbations of severe asthma despite high dosage daily treatment of inhaled corticosteroids, plus of a </w:t>
      </w:r>
      <w:r w:rsidRPr="00D12CE3">
        <w:rPr>
          <w:b/>
          <w:bCs/>
        </w:rPr>
        <w:t xml:space="preserve">β2-agonist with a prolonged action, while NICE more clearly defines that it should be used for patients </w:t>
      </w:r>
      <w:r w:rsidRPr="00D12CE3">
        <w:rPr>
          <w:b/>
        </w:rPr>
        <w:t xml:space="preserve">who need continuous or frequent treatment with oral corticosteroids (defined as 4 or more courses in the previous year), </w:t>
      </w:r>
      <w:r w:rsidRPr="00D12CE3">
        <w:rPr>
          <w:b/>
          <w:bCs/>
        </w:rPr>
        <w:t>etc.</w:t>
      </w:r>
    </w:p>
    <w:p w:rsidR="00F554D6" w:rsidRPr="00D12CE3" w:rsidRDefault="00F554D6" w:rsidP="00F554D6">
      <w:pPr>
        <w:spacing w:after="0" w:line="240" w:lineRule="auto"/>
        <w:jc w:val="both"/>
        <w:rPr>
          <w:b/>
          <w:bCs/>
        </w:rPr>
      </w:pPr>
    </w:p>
    <w:p w:rsidR="00F554D6" w:rsidRPr="00D12CE3" w:rsidRDefault="00F554D6" w:rsidP="00F554D6">
      <w:pPr>
        <w:spacing w:after="0" w:line="240" w:lineRule="auto"/>
        <w:jc w:val="both"/>
        <w:rPr>
          <w:b/>
        </w:rPr>
      </w:pPr>
      <w:r w:rsidRPr="00D12CE3">
        <w:rPr>
          <w:b/>
        </w:rPr>
        <w:t xml:space="preserve">Very importantly (in particular if comparing cost of treatment and prices) NICE and SMC recommend the use of Xolair, Tasigna and many other expensive products only if providers do not pay the listed price, but  if the manufacturer makes the products available with discounts agreed as part of patient access schemes (PAS). </w:t>
      </w:r>
    </w:p>
    <w:p w:rsidR="00F554D6" w:rsidRPr="00D12CE3" w:rsidRDefault="00F554D6" w:rsidP="00DC10CD">
      <w:pPr>
        <w:spacing w:after="0" w:line="240" w:lineRule="auto"/>
        <w:jc w:val="both"/>
        <w:rPr>
          <w:b/>
          <w:color w:val="FF0000"/>
        </w:rPr>
      </w:pPr>
    </w:p>
    <w:p w:rsidR="00C62E0D" w:rsidRPr="00D12CE3" w:rsidRDefault="00C62E0D" w:rsidP="00DC10CD">
      <w:pPr>
        <w:spacing w:after="0" w:line="240" w:lineRule="auto"/>
        <w:jc w:val="both"/>
        <w:rPr>
          <w:b/>
        </w:rPr>
      </w:pPr>
      <w:r w:rsidRPr="00D12CE3">
        <w:rPr>
          <w:b/>
        </w:rPr>
        <w:t xml:space="preserve">Specialists </w:t>
      </w:r>
      <w:r w:rsidR="00CE0191" w:rsidRPr="00D12CE3">
        <w:rPr>
          <w:b/>
        </w:rPr>
        <w:t>cannot</w:t>
      </w:r>
      <w:r w:rsidRPr="00D12CE3">
        <w:rPr>
          <w:b/>
        </w:rPr>
        <w:t xml:space="preserve"> prescribe reimbursed medicines if patients seek reimbursement, but </w:t>
      </w:r>
      <w:r w:rsidR="001A5DF7" w:rsidRPr="00D12CE3">
        <w:rPr>
          <w:b/>
        </w:rPr>
        <w:t>can recommend</w:t>
      </w:r>
      <w:r w:rsidRPr="00D12CE3">
        <w:rPr>
          <w:b/>
        </w:rPr>
        <w:t xml:space="preserve"> drugs by branded name. Specialist can prescribe non reimbursed drugs and </w:t>
      </w:r>
      <w:r w:rsidR="006335EE" w:rsidRPr="00D12CE3">
        <w:rPr>
          <w:b/>
        </w:rPr>
        <w:t>expensive hospital outpatient medicines</w:t>
      </w:r>
      <w:r w:rsidR="00A20A1F" w:rsidRPr="00D12CE3">
        <w:rPr>
          <w:b/>
        </w:rPr>
        <w:t xml:space="preserve"> by brand name</w:t>
      </w:r>
      <w:r w:rsidR="006335EE" w:rsidRPr="00D12CE3">
        <w:rPr>
          <w:b/>
        </w:rPr>
        <w:t>.</w:t>
      </w:r>
    </w:p>
    <w:p w:rsidR="007212B5" w:rsidRPr="0074017C" w:rsidRDefault="006335EE" w:rsidP="006335EE">
      <w:pPr>
        <w:tabs>
          <w:tab w:val="left" w:pos="7702"/>
        </w:tabs>
        <w:spacing w:after="0" w:line="240" w:lineRule="auto"/>
      </w:pPr>
      <w:r w:rsidRPr="0074017C">
        <w:tab/>
      </w:r>
    </w:p>
    <w:p w:rsidR="00C62E0D" w:rsidRPr="0074017C" w:rsidRDefault="00C62E0D" w:rsidP="00DC10CD">
      <w:pPr>
        <w:spacing w:after="0" w:line="240" w:lineRule="auto"/>
        <w:jc w:val="both"/>
      </w:pPr>
      <w:r w:rsidRPr="0074017C">
        <w:lastRenderedPageBreak/>
        <w:t>Contracted pharmacies currently invoice the HIF in 48h after dispensing via an online IT system. Paper prescriptions are presented to the HIF every 2 weeks when these should be controlled/compared to what was prescribed. An estimated 3,5 million prescriptions are submitted every year so it is reasonable to expect that the controlling process is not exhaustive. Instead, random controls and controls of suspicious practices are controlled. The IT system validates c</w:t>
      </w:r>
      <w:r w:rsidR="001A5DF7" w:rsidRPr="0074017C">
        <w:t>ertain data (preselection -</w:t>
      </w:r>
      <w:r w:rsidRPr="0074017C">
        <w:t xml:space="preserve"> no data can be input individually) such as number of insured individual, diagnosis, medicine, prescribing doctor, health centre, etc. The system automatically calculates the price of the pack, reimbursed amount and copayment. The system does not record which specialist suggested a certain medicine. All contracted pharmacies have PCs and are connected to the internet.</w:t>
      </w:r>
    </w:p>
    <w:p w:rsidR="007212B5" w:rsidRPr="0074017C" w:rsidRDefault="007212B5" w:rsidP="00DC10CD">
      <w:pPr>
        <w:spacing w:after="0" w:line="240" w:lineRule="auto"/>
      </w:pPr>
    </w:p>
    <w:p w:rsidR="007212B5" w:rsidRPr="0074017C" w:rsidRDefault="007212B5" w:rsidP="00DC10CD">
      <w:pPr>
        <w:spacing w:after="0" w:line="240" w:lineRule="auto"/>
        <w:jc w:val="both"/>
      </w:pPr>
      <w:r w:rsidRPr="0074017C">
        <w:t>The process can be audited by HII’s Department of Pharmaceutical Control. Audits have been done by cross checking information that is sent electronically against pa</w:t>
      </w:r>
      <w:r w:rsidR="001A5DF7" w:rsidRPr="0074017C">
        <w:t>per copies of prescriptions. HIF</w:t>
      </w:r>
      <w:r w:rsidRPr="0074017C">
        <w:t xml:space="preserve"> analyses reimbursement trends from individual pharmacies and investigates / inspects pharmacies when there are suspicious fluctuations in reimbursement amounts. For example, in the past </w:t>
      </w:r>
      <w:r w:rsidR="001A5DF7" w:rsidRPr="0074017C">
        <w:t>several months, HIF</w:t>
      </w:r>
      <w:r w:rsidRPr="0074017C">
        <w:t xml:space="preserve"> has inspected 30 pharmacies and imposed penalties for issues such as claims submitted for phantom patients, pharmacies holding on to patients' cards and using them to fill multiple prescriptions, and rural pharmacies that are not contracted with HII colluding with contracted urban-based pharmacies to claim reimbursements</w:t>
      </w:r>
      <w:r w:rsidR="009F65E7" w:rsidRPr="0074017C">
        <w:rPr>
          <w:rStyle w:val="FootnoteReference"/>
        </w:rPr>
        <w:footnoteReference w:id="18"/>
      </w:r>
      <w:r w:rsidRPr="0074017C">
        <w:t xml:space="preserve">. </w:t>
      </w:r>
    </w:p>
    <w:p w:rsidR="00705AFA" w:rsidRPr="0074017C" w:rsidRDefault="00705AFA" w:rsidP="00DC10CD">
      <w:pPr>
        <w:spacing w:after="0" w:line="240" w:lineRule="auto"/>
        <w:jc w:val="both"/>
      </w:pPr>
    </w:p>
    <w:p w:rsidR="000E007A" w:rsidRPr="0074017C" w:rsidRDefault="000E007A" w:rsidP="00DC10CD">
      <w:pPr>
        <w:spacing w:after="0" w:line="240" w:lineRule="auto"/>
        <w:rPr>
          <w:b/>
          <w:highlight w:val="cyan"/>
        </w:rPr>
      </w:pPr>
    </w:p>
    <w:p w:rsidR="0069100B" w:rsidRPr="0074017C" w:rsidRDefault="0069100B">
      <w:pPr>
        <w:rPr>
          <w:rFonts w:asciiTheme="majorHAnsi" w:eastAsiaTheme="majorEastAsia" w:hAnsiTheme="majorHAnsi" w:cstheme="majorBidi"/>
          <w:b/>
          <w:bCs/>
          <w:color w:val="365F91" w:themeColor="accent1" w:themeShade="BF"/>
          <w:sz w:val="28"/>
          <w:szCs w:val="28"/>
        </w:rPr>
      </w:pPr>
      <w:r w:rsidRPr="0074017C">
        <w:br w:type="page"/>
      </w:r>
    </w:p>
    <w:p w:rsidR="009A2E8D" w:rsidRPr="0074017C" w:rsidRDefault="009A2E8D" w:rsidP="00DC10CD">
      <w:pPr>
        <w:pStyle w:val="Heading1"/>
        <w:spacing w:before="0" w:line="240" w:lineRule="auto"/>
      </w:pPr>
      <w:bookmarkStart w:id="9" w:name="_Toc391556307"/>
      <w:r w:rsidRPr="0074017C">
        <w:lastRenderedPageBreak/>
        <w:t>IT: ePrescriptions and Track &amp; Trace Technology</w:t>
      </w:r>
      <w:bookmarkEnd w:id="9"/>
    </w:p>
    <w:p w:rsidR="009A2E8D" w:rsidRPr="0074017C" w:rsidRDefault="009A2E8D" w:rsidP="00DC10CD">
      <w:pPr>
        <w:spacing w:after="0" w:line="240" w:lineRule="auto"/>
      </w:pPr>
    </w:p>
    <w:p w:rsidR="007212B5" w:rsidRPr="0074017C" w:rsidRDefault="00C62E0D" w:rsidP="00DC10CD">
      <w:pPr>
        <w:spacing w:after="0" w:line="240" w:lineRule="auto"/>
        <w:jc w:val="both"/>
      </w:pPr>
      <w:r w:rsidRPr="0074017C">
        <w:t xml:space="preserve">Currently only a part of the GPs have PCs and internet connections (caring </w:t>
      </w:r>
      <w:r w:rsidR="001A5DF7" w:rsidRPr="0074017C">
        <w:t xml:space="preserve">approximately </w:t>
      </w:r>
      <w:r w:rsidRPr="0074017C">
        <w:t xml:space="preserve">for 50% of the population). All pharmacies contracted by the HIF have PCs and internet connections. </w:t>
      </w:r>
    </w:p>
    <w:p w:rsidR="00C62E0D" w:rsidRPr="0074017C" w:rsidRDefault="00C62E0D" w:rsidP="00DC10CD">
      <w:pPr>
        <w:spacing w:after="0" w:line="240" w:lineRule="auto"/>
        <w:jc w:val="both"/>
      </w:pPr>
    </w:p>
    <w:p w:rsidR="007212B5" w:rsidRPr="0074017C" w:rsidRDefault="007212B5" w:rsidP="00DC10CD">
      <w:pPr>
        <w:spacing w:after="0" w:line="240" w:lineRule="auto"/>
        <w:jc w:val="both"/>
      </w:pPr>
      <w:r w:rsidRPr="0074017C">
        <w:t xml:space="preserve">The HIF applied for an Italian government grant to introduce a pilot project for e-prescriptions in </w:t>
      </w:r>
      <w:r w:rsidR="00C62E0D" w:rsidRPr="0074017C">
        <w:t xml:space="preserve">the </w:t>
      </w:r>
      <w:r w:rsidRPr="0074017C">
        <w:t>Durres</w:t>
      </w:r>
      <w:r w:rsidR="00C62E0D" w:rsidRPr="0074017C">
        <w:t xml:space="preserve"> region</w:t>
      </w:r>
      <w:r w:rsidRPr="0074017C">
        <w:t xml:space="preserve">. </w:t>
      </w:r>
      <w:r w:rsidR="00C62E0D" w:rsidRPr="0074017C">
        <w:t xml:space="preserve">Results should be known in May. </w:t>
      </w:r>
    </w:p>
    <w:p w:rsidR="00C62E0D" w:rsidRPr="0074017C" w:rsidRDefault="00C62E0D" w:rsidP="00DC10CD">
      <w:pPr>
        <w:spacing w:after="0" w:line="240" w:lineRule="auto"/>
        <w:jc w:val="both"/>
      </w:pPr>
    </w:p>
    <w:p w:rsidR="007212B5" w:rsidRPr="0074017C" w:rsidRDefault="007212B5" w:rsidP="00DC10CD">
      <w:pPr>
        <w:spacing w:after="0" w:line="240" w:lineRule="auto"/>
        <w:jc w:val="both"/>
      </w:pPr>
      <w:r w:rsidRPr="0074017C">
        <w:t>Plans for the pilot are as of yet not definite. Several scenarios are considered</w:t>
      </w:r>
      <w:r w:rsidR="00C62E0D" w:rsidRPr="0074017C">
        <w:t>:</w:t>
      </w:r>
    </w:p>
    <w:p w:rsidR="007212B5" w:rsidRPr="0074017C" w:rsidRDefault="007212B5" w:rsidP="00DC10CD">
      <w:pPr>
        <w:pStyle w:val="ListParagraph"/>
        <w:numPr>
          <w:ilvl w:val="0"/>
          <w:numId w:val="9"/>
        </w:numPr>
        <w:spacing w:after="0" w:line="240" w:lineRule="auto"/>
        <w:jc w:val="both"/>
      </w:pPr>
      <w:r w:rsidRPr="0074017C">
        <w:t>for the system to handle all prescriptions (both reimbursed and non reimbursed), this would however entail all pharmacies to be connected to the fund via internet as those not contracted are currently not.</w:t>
      </w:r>
    </w:p>
    <w:p w:rsidR="007212B5" w:rsidRPr="0074017C" w:rsidRDefault="007212B5" w:rsidP="00DC10CD">
      <w:pPr>
        <w:pStyle w:val="ListParagraph"/>
        <w:numPr>
          <w:ilvl w:val="0"/>
          <w:numId w:val="9"/>
        </w:numPr>
        <w:spacing w:after="0" w:line="240" w:lineRule="auto"/>
        <w:jc w:val="both"/>
      </w:pPr>
      <w:r w:rsidRPr="0074017C">
        <w:t xml:space="preserve">Clinical guidelines should </w:t>
      </w:r>
      <w:r w:rsidR="00705AFA" w:rsidRPr="0074017C">
        <w:t>be included, drug interactions</w:t>
      </w:r>
      <w:r w:rsidRPr="0074017C">
        <w:t>, etc.</w:t>
      </w:r>
    </w:p>
    <w:p w:rsidR="007212B5" w:rsidRPr="0074017C" w:rsidRDefault="007212B5" w:rsidP="00DC10CD">
      <w:pPr>
        <w:spacing w:after="0" w:line="240" w:lineRule="auto"/>
        <w:jc w:val="both"/>
      </w:pPr>
    </w:p>
    <w:p w:rsidR="009A2E8D" w:rsidRPr="0074017C" w:rsidRDefault="009A2E8D" w:rsidP="00DC10CD">
      <w:pPr>
        <w:spacing w:after="0" w:line="240" w:lineRule="auto"/>
        <w:jc w:val="both"/>
      </w:pPr>
    </w:p>
    <w:p w:rsidR="009A2E8D" w:rsidRPr="0074017C" w:rsidRDefault="00C62E0D" w:rsidP="00DC10CD">
      <w:pPr>
        <w:spacing w:after="0" w:line="240" w:lineRule="auto"/>
        <w:jc w:val="both"/>
      </w:pPr>
      <w:r w:rsidRPr="0074017C">
        <w:t xml:space="preserve">The MoH plans to introduce </w:t>
      </w:r>
      <w:r w:rsidR="009A2E8D" w:rsidRPr="0074017C">
        <w:t xml:space="preserve">Track and trace technology </w:t>
      </w:r>
      <w:r w:rsidRPr="0074017C">
        <w:t>by the end of the year</w:t>
      </w:r>
      <w:r w:rsidR="009A2E8D" w:rsidRPr="0074017C">
        <w:t xml:space="preserve">. </w:t>
      </w:r>
      <w:r w:rsidRPr="0074017C">
        <w:t>Two</w:t>
      </w:r>
      <w:r w:rsidR="009A2E8D" w:rsidRPr="0074017C">
        <w:t xml:space="preserve"> scenarios are currently under consideration – marking the packs at the border (customs) and marking the packs at production sites. </w:t>
      </w:r>
      <w:r w:rsidR="001A5DF7" w:rsidRPr="0074017C">
        <w:t xml:space="preserve">This should protect the system from counterfeit medicines and should prevent fraudulent behavior when medicines are charged to the HIF for phantom patients and later resold in the private market. </w:t>
      </w:r>
    </w:p>
    <w:p w:rsidR="000C1BF8" w:rsidRPr="0074017C" w:rsidRDefault="000C1BF8" w:rsidP="00DC10CD">
      <w:pPr>
        <w:spacing w:after="0" w:line="240" w:lineRule="auto"/>
        <w:rPr>
          <w:rFonts w:asciiTheme="majorHAnsi" w:eastAsiaTheme="majorEastAsia" w:hAnsiTheme="majorHAnsi" w:cstheme="majorBidi"/>
          <w:b/>
          <w:bCs/>
          <w:color w:val="365F91" w:themeColor="accent1" w:themeShade="BF"/>
          <w:sz w:val="28"/>
          <w:szCs w:val="28"/>
        </w:rPr>
      </w:pPr>
      <w:r w:rsidRPr="0074017C">
        <w:br w:type="page"/>
      </w:r>
    </w:p>
    <w:p w:rsidR="001F7AF2" w:rsidRPr="0074017C" w:rsidRDefault="001F7AF2" w:rsidP="00DC10CD">
      <w:pPr>
        <w:pStyle w:val="Heading1"/>
        <w:spacing w:before="0" w:line="240" w:lineRule="auto"/>
      </w:pPr>
      <w:bookmarkStart w:id="10" w:name="_Toc391556308"/>
      <w:r w:rsidRPr="0074017C">
        <w:lastRenderedPageBreak/>
        <w:t>Review of Formulary Content, Prices and Expenditure</w:t>
      </w:r>
      <w:bookmarkEnd w:id="10"/>
    </w:p>
    <w:p w:rsidR="001F7AF2" w:rsidRPr="0074017C" w:rsidRDefault="001F7AF2" w:rsidP="00DC10CD">
      <w:pPr>
        <w:spacing w:after="0" w:line="240" w:lineRule="auto"/>
      </w:pPr>
    </w:p>
    <w:p w:rsidR="001F7AF2" w:rsidRPr="0074017C" w:rsidRDefault="001F7AF2" w:rsidP="00DC10CD">
      <w:pPr>
        <w:spacing w:after="0" w:line="240" w:lineRule="auto"/>
      </w:pPr>
    </w:p>
    <w:p w:rsidR="001F7AF2" w:rsidRPr="0074017C" w:rsidRDefault="001F7AF2" w:rsidP="00DC10CD">
      <w:pPr>
        <w:pStyle w:val="Heading2"/>
        <w:spacing w:before="0" w:line="240" w:lineRule="auto"/>
      </w:pPr>
      <w:bookmarkStart w:id="11" w:name="_Toc391556309"/>
      <w:r w:rsidRPr="0074017C">
        <w:t>Prescription Medicines</w:t>
      </w:r>
      <w:r w:rsidR="001C5BB8" w:rsidRPr="0074017C">
        <w:t>&amp; Expensive Outpatient Medicines</w:t>
      </w:r>
      <w:bookmarkEnd w:id="11"/>
    </w:p>
    <w:p w:rsidR="00DA5E9A" w:rsidRPr="0074017C" w:rsidRDefault="00DA5E9A" w:rsidP="00DC10CD">
      <w:pPr>
        <w:spacing w:after="0" w:line="240" w:lineRule="auto"/>
        <w:jc w:val="both"/>
        <w:rPr>
          <w:b/>
          <w:highlight w:val="cyan"/>
        </w:rPr>
      </w:pPr>
    </w:p>
    <w:p w:rsidR="00E53E25" w:rsidRPr="0074017C" w:rsidRDefault="00E53E25" w:rsidP="00DC10CD">
      <w:pPr>
        <w:spacing w:after="0" w:line="240" w:lineRule="auto"/>
        <w:jc w:val="both"/>
        <w:rPr>
          <w:b/>
          <w:highlight w:val="cyan"/>
        </w:rPr>
      </w:pPr>
    </w:p>
    <w:p w:rsidR="00DA5E9A" w:rsidRPr="0074017C" w:rsidRDefault="00DA5E9A" w:rsidP="00DC10CD">
      <w:pPr>
        <w:pStyle w:val="Heading3"/>
        <w:spacing w:before="0" w:line="240" w:lineRule="auto"/>
      </w:pPr>
      <w:bookmarkStart w:id="12" w:name="_Toc391556310"/>
      <w:r w:rsidRPr="0074017C">
        <w:t xml:space="preserve">List of reimbursed medicines </w:t>
      </w:r>
      <w:r w:rsidR="00310158" w:rsidRPr="0074017C">
        <w:t>–</w:t>
      </w:r>
      <w:r w:rsidRPr="0074017C">
        <w:t xml:space="preserve"> data</w:t>
      </w:r>
      <w:r w:rsidR="00310158" w:rsidRPr="0074017C">
        <w:t xml:space="preserve"> and prices</w:t>
      </w:r>
      <w:bookmarkEnd w:id="12"/>
    </w:p>
    <w:p w:rsidR="00631BBC" w:rsidRPr="0074017C" w:rsidRDefault="00631BBC" w:rsidP="00DC10CD">
      <w:pPr>
        <w:spacing w:after="0" w:line="240" w:lineRule="auto"/>
        <w:jc w:val="both"/>
      </w:pPr>
    </w:p>
    <w:p w:rsidR="00A63208" w:rsidRPr="0074017C" w:rsidRDefault="001F7AF2" w:rsidP="00DC10CD">
      <w:pPr>
        <w:spacing w:after="0" w:line="240" w:lineRule="auto"/>
        <w:jc w:val="both"/>
      </w:pPr>
      <w:r w:rsidRPr="0074017C">
        <w:t xml:space="preserve">The Albanian list of reimbursed medicines contains the following data for each entry: </w:t>
      </w:r>
      <w:r w:rsidR="00797857" w:rsidRPr="0074017C">
        <w:t xml:space="preserve">HIF </w:t>
      </w:r>
      <w:r w:rsidRPr="0074017C">
        <w:t>reimbursement number, ATC code, INN and strength of unite dose, pharmaceutical form, brand name, market authorization holder, total price, copayment and reimbursed pric</w:t>
      </w:r>
      <w:r w:rsidR="00AD242C" w:rsidRPr="0074017C">
        <w:t xml:space="preserve">e. The formulary does not </w:t>
      </w:r>
      <w:r w:rsidR="00DA5E9A" w:rsidRPr="0074017C">
        <w:t>list packs nor their prices</w:t>
      </w:r>
      <w:r w:rsidR="00AD242C" w:rsidRPr="0074017C">
        <w:t xml:space="preserve">. </w:t>
      </w:r>
    </w:p>
    <w:p w:rsidR="00A63208" w:rsidRPr="0074017C" w:rsidRDefault="00A63208" w:rsidP="00DC10CD">
      <w:pPr>
        <w:spacing w:after="0" w:line="240" w:lineRule="auto"/>
        <w:jc w:val="both"/>
      </w:pPr>
    </w:p>
    <w:p w:rsidR="001B2097" w:rsidRPr="0074017C" w:rsidRDefault="00D076D5" w:rsidP="00DC10CD">
      <w:pPr>
        <w:spacing w:after="0" w:line="240" w:lineRule="auto"/>
        <w:jc w:val="both"/>
      </w:pPr>
      <w:r w:rsidRPr="0074017C">
        <w:t>Table 8</w:t>
      </w:r>
      <w:r w:rsidR="00A93829" w:rsidRPr="0074017C">
        <w:t xml:space="preserve"> – Data contained in the Albanian list of reimbursed prescription medicines</w:t>
      </w:r>
    </w:p>
    <w:tbl>
      <w:tblPr>
        <w:tblStyle w:val="TableGrid"/>
        <w:tblW w:w="0" w:type="auto"/>
        <w:tblLook w:val="04A0"/>
      </w:tblPr>
      <w:tblGrid>
        <w:gridCol w:w="851"/>
        <w:gridCol w:w="1046"/>
        <w:gridCol w:w="1396"/>
        <w:gridCol w:w="892"/>
        <w:gridCol w:w="1139"/>
        <w:gridCol w:w="1211"/>
        <w:gridCol w:w="695"/>
        <w:gridCol w:w="1031"/>
        <w:gridCol w:w="1315"/>
      </w:tblGrid>
      <w:tr w:rsidR="00A63208" w:rsidRPr="0074017C" w:rsidTr="001C27B1">
        <w:tc>
          <w:tcPr>
            <w:tcW w:w="851" w:type="dxa"/>
          </w:tcPr>
          <w:p w:rsidR="00A63208" w:rsidRPr="0074017C" w:rsidRDefault="00A63208" w:rsidP="00DC10CD">
            <w:pPr>
              <w:jc w:val="both"/>
              <w:rPr>
                <w:b/>
              </w:rPr>
            </w:pPr>
            <w:r w:rsidRPr="0074017C">
              <w:rPr>
                <w:b/>
              </w:rPr>
              <w:t>HIF No</w:t>
            </w:r>
          </w:p>
        </w:tc>
        <w:tc>
          <w:tcPr>
            <w:tcW w:w="1046" w:type="dxa"/>
          </w:tcPr>
          <w:p w:rsidR="00A63208" w:rsidRPr="0074017C" w:rsidRDefault="00A63208" w:rsidP="00DC10CD">
            <w:pPr>
              <w:jc w:val="both"/>
              <w:rPr>
                <w:b/>
              </w:rPr>
            </w:pPr>
            <w:r w:rsidRPr="0074017C">
              <w:rPr>
                <w:b/>
              </w:rPr>
              <w:t>ATC</w:t>
            </w:r>
          </w:p>
        </w:tc>
        <w:tc>
          <w:tcPr>
            <w:tcW w:w="1396" w:type="dxa"/>
          </w:tcPr>
          <w:p w:rsidR="00A63208" w:rsidRPr="0074017C" w:rsidRDefault="00A63208" w:rsidP="00DC10CD">
            <w:pPr>
              <w:jc w:val="both"/>
              <w:rPr>
                <w:b/>
              </w:rPr>
            </w:pPr>
            <w:r w:rsidRPr="0074017C">
              <w:rPr>
                <w:b/>
              </w:rPr>
              <w:t>INN</w:t>
            </w:r>
          </w:p>
        </w:tc>
        <w:tc>
          <w:tcPr>
            <w:tcW w:w="892" w:type="dxa"/>
          </w:tcPr>
          <w:p w:rsidR="00A63208" w:rsidRPr="0074017C" w:rsidRDefault="00A63208" w:rsidP="00DC10CD">
            <w:pPr>
              <w:jc w:val="both"/>
              <w:rPr>
                <w:b/>
              </w:rPr>
            </w:pPr>
            <w:r w:rsidRPr="0074017C">
              <w:rPr>
                <w:b/>
              </w:rPr>
              <w:t>Form</w:t>
            </w:r>
          </w:p>
        </w:tc>
        <w:tc>
          <w:tcPr>
            <w:tcW w:w="1139" w:type="dxa"/>
          </w:tcPr>
          <w:p w:rsidR="00A63208" w:rsidRPr="0074017C" w:rsidRDefault="00A63208" w:rsidP="00DC10CD">
            <w:pPr>
              <w:jc w:val="both"/>
              <w:rPr>
                <w:b/>
              </w:rPr>
            </w:pPr>
            <w:r w:rsidRPr="0074017C">
              <w:rPr>
                <w:b/>
              </w:rPr>
              <w:t>Brand name</w:t>
            </w:r>
          </w:p>
        </w:tc>
        <w:tc>
          <w:tcPr>
            <w:tcW w:w="1211" w:type="dxa"/>
          </w:tcPr>
          <w:p w:rsidR="00A63208" w:rsidRPr="0074017C" w:rsidRDefault="00A63208" w:rsidP="00DC10CD">
            <w:pPr>
              <w:jc w:val="both"/>
              <w:rPr>
                <w:b/>
              </w:rPr>
            </w:pPr>
            <w:r w:rsidRPr="0074017C">
              <w:rPr>
                <w:b/>
              </w:rPr>
              <w:t>MAH</w:t>
            </w:r>
          </w:p>
        </w:tc>
        <w:tc>
          <w:tcPr>
            <w:tcW w:w="695" w:type="dxa"/>
          </w:tcPr>
          <w:p w:rsidR="00A63208" w:rsidRPr="0074017C" w:rsidRDefault="00A63208" w:rsidP="00DC10CD">
            <w:pPr>
              <w:jc w:val="both"/>
              <w:rPr>
                <w:b/>
              </w:rPr>
            </w:pPr>
            <w:r w:rsidRPr="0074017C">
              <w:rPr>
                <w:b/>
              </w:rPr>
              <w:t xml:space="preserve">Total price </w:t>
            </w:r>
          </w:p>
        </w:tc>
        <w:tc>
          <w:tcPr>
            <w:tcW w:w="1031" w:type="dxa"/>
          </w:tcPr>
          <w:p w:rsidR="00A63208" w:rsidRPr="0074017C" w:rsidRDefault="00A63208" w:rsidP="00DC10CD">
            <w:pPr>
              <w:jc w:val="both"/>
              <w:rPr>
                <w:b/>
              </w:rPr>
            </w:pPr>
            <w:r w:rsidRPr="0074017C">
              <w:rPr>
                <w:b/>
              </w:rPr>
              <w:t>Co-payment</w:t>
            </w:r>
          </w:p>
        </w:tc>
        <w:tc>
          <w:tcPr>
            <w:tcW w:w="1315" w:type="dxa"/>
          </w:tcPr>
          <w:p w:rsidR="00A63208" w:rsidRPr="0074017C" w:rsidRDefault="00A63208" w:rsidP="00DC10CD">
            <w:pPr>
              <w:jc w:val="both"/>
              <w:rPr>
                <w:b/>
              </w:rPr>
            </w:pPr>
            <w:r w:rsidRPr="0074017C">
              <w:rPr>
                <w:b/>
              </w:rPr>
              <w:t>Reimbursed price</w:t>
            </w:r>
          </w:p>
        </w:tc>
      </w:tr>
      <w:tr w:rsidR="00A63208" w:rsidRPr="0074017C" w:rsidTr="001C27B1">
        <w:tc>
          <w:tcPr>
            <w:tcW w:w="851" w:type="dxa"/>
          </w:tcPr>
          <w:p w:rsidR="00A63208" w:rsidRPr="0074017C" w:rsidRDefault="00A63208" w:rsidP="00DC10CD">
            <w:pPr>
              <w:jc w:val="both"/>
            </w:pPr>
            <w:r w:rsidRPr="0074017C">
              <w:t>2/105</w:t>
            </w:r>
          </w:p>
        </w:tc>
        <w:tc>
          <w:tcPr>
            <w:tcW w:w="1046" w:type="dxa"/>
          </w:tcPr>
          <w:p w:rsidR="00A63208" w:rsidRPr="0074017C" w:rsidRDefault="00A63208" w:rsidP="00DC10CD">
            <w:pPr>
              <w:jc w:val="both"/>
            </w:pPr>
            <w:r w:rsidRPr="0074017C">
              <w:t>A02BA02</w:t>
            </w:r>
          </w:p>
        </w:tc>
        <w:tc>
          <w:tcPr>
            <w:tcW w:w="1396" w:type="dxa"/>
          </w:tcPr>
          <w:p w:rsidR="00A63208" w:rsidRPr="0074017C" w:rsidRDefault="00A63208" w:rsidP="00DC10CD">
            <w:pPr>
              <w:jc w:val="both"/>
            </w:pPr>
            <w:r w:rsidRPr="0074017C">
              <w:t>Ranitidine 150 mg</w:t>
            </w:r>
          </w:p>
        </w:tc>
        <w:tc>
          <w:tcPr>
            <w:tcW w:w="892" w:type="dxa"/>
          </w:tcPr>
          <w:p w:rsidR="00A63208" w:rsidRPr="0074017C" w:rsidRDefault="00A63208" w:rsidP="00DC10CD">
            <w:pPr>
              <w:jc w:val="both"/>
            </w:pPr>
            <w:r w:rsidRPr="0074017C">
              <w:t>f.c.tabl.</w:t>
            </w:r>
          </w:p>
        </w:tc>
        <w:tc>
          <w:tcPr>
            <w:tcW w:w="1139" w:type="dxa"/>
          </w:tcPr>
          <w:p w:rsidR="00A63208" w:rsidRPr="0074017C" w:rsidRDefault="00A63208" w:rsidP="00DC10CD">
            <w:pPr>
              <w:jc w:val="both"/>
            </w:pPr>
            <w:r w:rsidRPr="0074017C">
              <w:t>Ranitidine</w:t>
            </w:r>
          </w:p>
        </w:tc>
        <w:tc>
          <w:tcPr>
            <w:tcW w:w="1211" w:type="dxa"/>
          </w:tcPr>
          <w:p w:rsidR="00A63208" w:rsidRPr="0074017C" w:rsidRDefault="00A63208" w:rsidP="00DC10CD">
            <w:pPr>
              <w:jc w:val="both"/>
            </w:pPr>
            <w:r w:rsidRPr="0074017C">
              <w:t>Profarma</w:t>
            </w:r>
          </w:p>
        </w:tc>
        <w:tc>
          <w:tcPr>
            <w:tcW w:w="695" w:type="dxa"/>
          </w:tcPr>
          <w:p w:rsidR="00A63208" w:rsidRPr="0074017C" w:rsidRDefault="00A63208" w:rsidP="00DC10CD">
            <w:pPr>
              <w:jc w:val="both"/>
            </w:pPr>
            <w:r w:rsidRPr="0074017C">
              <w:t>3,3</w:t>
            </w:r>
          </w:p>
        </w:tc>
        <w:tc>
          <w:tcPr>
            <w:tcW w:w="1031" w:type="dxa"/>
          </w:tcPr>
          <w:p w:rsidR="00A63208" w:rsidRPr="0074017C" w:rsidRDefault="00A63208" w:rsidP="00DC10CD">
            <w:pPr>
              <w:jc w:val="both"/>
            </w:pPr>
            <w:r w:rsidRPr="0074017C">
              <w:t>1,0</w:t>
            </w:r>
          </w:p>
        </w:tc>
        <w:tc>
          <w:tcPr>
            <w:tcW w:w="1315" w:type="dxa"/>
          </w:tcPr>
          <w:p w:rsidR="00A63208" w:rsidRPr="0074017C" w:rsidRDefault="00A63208" w:rsidP="00DC10CD">
            <w:pPr>
              <w:jc w:val="both"/>
            </w:pPr>
            <w:r w:rsidRPr="0074017C">
              <w:t>2,3</w:t>
            </w:r>
          </w:p>
        </w:tc>
      </w:tr>
      <w:tr w:rsidR="00A63208" w:rsidRPr="0074017C" w:rsidTr="001C27B1">
        <w:tc>
          <w:tcPr>
            <w:tcW w:w="851" w:type="dxa"/>
          </w:tcPr>
          <w:p w:rsidR="00A63208" w:rsidRPr="0074017C" w:rsidRDefault="00A63208" w:rsidP="00DC10CD">
            <w:pPr>
              <w:jc w:val="both"/>
            </w:pPr>
            <w:r w:rsidRPr="0074017C">
              <w:t>2/16</w:t>
            </w:r>
          </w:p>
        </w:tc>
        <w:tc>
          <w:tcPr>
            <w:tcW w:w="1046" w:type="dxa"/>
          </w:tcPr>
          <w:p w:rsidR="00A63208" w:rsidRPr="0074017C" w:rsidRDefault="00A63208" w:rsidP="00DC10CD">
            <w:pPr>
              <w:jc w:val="both"/>
            </w:pPr>
            <w:r w:rsidRPr="0074017C">
              <w:t>A02BA02</w:t>
            </w:r>
          </w:p>
        </w:tc>
        <w:tc>
          <w:tcPr>
            <w:tcW w:w="1396" w:type="dxa"/>
          </w:tcPr>
          <w:p w:rsidR="00A63208" w:rsidRPr="0074017C" w:rsidRDefault="00A63208" w:rsidP="00DC10CD">
            <w:pPr>
              <w:jc w:val="both"/>
            </w:pPr>
            <w:r w:rsidRPr="0074017C">
              <w:t>Ranitidine 150 mg</w:t>
            </w:r>
          </w:p>
        </w:tc>
        <w:tc>
          <w:tcPr>
            <w:tcW w:w="892" w:type="dxa"/>
          </w:tcPr>
          <w:p w:rsidR="00A63208" w:rsidRPr="0074017C" w:rsidRDefault="00A63208" w:rsidP="00DC10CD">
            <w:pPr>
              <w:jc w:val="both"/>
            </w:pPr>
            <w:r w:rsidRPr="0074017C">
              <w:t>f.c.tabl.</w:t>
            </w:r>
          </w:p>
        </w:tc>
        <w:tc>
          <w:tcPr>
            <w:tcW w:w="1139" w:type="dxa"/>
          </w:tcPr>
          <w:p w:rsidR="00A63208" w:rsidRPr="0074017C" w:rsidRDefault="00A63208" w:rsidP="00DC10CD">
            <w:pPr>
              <w:jc w:val="both"/>
            </w:pPr>
            <w:r w:rsidRPr="0074017C">
              <w:t>Raniberl</w:t>
            </w:r>
          </w:p>
        </w:tc>
        <w:tc>
          <w:tcPr>
            <w:tcW w:w="1211" w:type="dxa"/>
          </w:tcPr>
          <w:p w:rsidR="00A63208" w:rsidRPr="0074017C" w:rsidRDefault="00A63208" w:rsidP="00DC10CD">
            <w:pPr>
              <w:jc w:val="both"/>
            </w:pPr>
            <w:r w:rsidRPr="0074017C">
              <w:t>Berlin Chemie</w:t>
            </w:r>
          </w:p>
        </w:tc>
        <w:tc>
          <w:tcPr>
            <w:tcW w:w="695" w:type="dxa"/>
          </w:tcPr>
          <w:p w:rsidR="00A63208" w:rsidRPr="0074017C" w:rsidRDefault="00A63208" w:rsidP="00DC10CD">
            <w:pPr>
              <w:jc w:val="both"/>
            </w:pPr>
            <w:r w:rsidRPr="0074017C">
              <w:t>22,7</w:t>
            </w:r>
          </w:p>
        </w:tc>
        <w:tc>
          <w:tcPr>
            <w:tcW w:w="1031" w:type="dxa"/>
          </w:tcPr>
          <w:p w:rsidR="00A63208" w:rsidRPr="0074017C" w:rsidRDefault="00A63208" w:rsidP="00DC10CD">
            <w:pPr>
              <w:jc w:val="both"/>
            </w:pPr>
            <w:r w:rsidRPr="0074017C">
              <w:t>20,4</w:t>
            </w:r>
          </w:p>
        </w:tc>
        <w:tc>
          <w:tcPr>
            <w:tcW w:w="1315" w:type="dxa"/>
          </w:tcPr>
          <w:p w:rsidR="00A63208" w:rsidRPr="0074017C" w:rsidRDefault="00A63208" w:rsidP="00DC10CD">
            <w:pPr>
              <w:jc w:val="both"/>
            </w:pPr>
            <w:r w:rsidRPr="0074017C">
              <w:t>2,3</w:t>
            </w:r>
          </w:p>
        </w:tc>
      </w:tr>
    </w:tbl>
    <w:p w:rsidR="00A63208" w:rsidRPr="0074017C" w:rsidRDefault="00A63208" w:rsidP="00DC10CD">
      <w:pPr>
        <w:spacing w:after="0" w:line="240" w:lineRule="auto"/>
        <w:jc w:val="both"/>
      </w:pPr>
    </w:p>
    <w:tbl>
      <w:tblPr>
        <w:tblStyle w:val="TableGrid"/>
        <w:tblW w:w="0" w:type="auto"/>
        <w:tblLook w:val="04A0"/>
      </w:tblPr>
      <w:tblGrid>
        <w:gridCol w:w="747"/>
        <w:gridCol w:w="1071"/>
        <w:gridCol w:w="1980"/>
        <w:gridCol w:w="720"/>
        <w:gridCol w:w="1890"/>
        <w:gridCol w:w="1233"/>
        <w:gridCol w:w="703"/>
        <w:gridCol w:w="626"/>
        <w:gridCol w:w="606"/>
      </w:tblGrid>
      <w:tr w:rsidR="00A63208" w:rsidRPr="0074017C" w:rsidTr="001C27B1">
        <w:tc>
          <w:tcPr>
            <w:tcW w:w="747" w:type="dxa"/>
          </w:tcPr>
          <w:p w:rsidR="00A63208" w:rsidRPr="0074017C" w:rsidRDefault="00A63208" w:rsidP="00DC10CD">
            <w:pPr>
              <w:jc w:val="both"/>
            </w:pPr>
            <w:r w:rsidRPr="0074017C">
              <w:t>4/110</w:t>
            </w:r>
          </w:p>
        </w:tc>
        <w:tc>
          <w:tcPr>
            <w:tcW w:w="1071" w:type="dxa"/>
          </w:tcPr>
          <w:p w:rsidR="00A63208" w:rsidRPr="0074017C" w:rsidRDefault="00A63208" w:rsidP="00DC10CD">
            <w:pPr>
              <w:jc w:val="both"/>
            </w:pPr>
            <w:r w:rsidRPr="0074017C">
              <w:t>A02BC01</w:t>
            </w:r>
          </w:p>
        </w:tc>
        <w:tc>
          <w:tcPr>
            <w:tcW w:w="1980" w:type="dxa"/>
          </w:tcPr>
          <w:p w:rsidR="00A63208" w:rsidRPr="0074017C" w:rsidRDefault="00A63208" w:rsidP="00DC10CD">
            <w:pPr>
              <w:jc w:val="both"/>
            </w:pPr>
            <w:r w:rsidRPr="0074017C">
              <w:t>Omeprazole 20 mg</w:t>
            </w:r>
          </w:p>
        </w:tc>
        <w:tc>
          <w:tcPr>
            <w:tcW w:w="720" w:type="dxa"/>
          </w:tcPr>
          <w:p w:rsidR="00A63208" w:rsidRPr="0074017C" w:rsidRDefault="00A63208" w:rsidP="00DC10CD">
            <w:pPr>
              <w:jc w:val="both"/>
            </w:pPr>
            <w:r w:rsidRPr="0074017C">
              <w:t>Caps.</w:t>
            </w:r>
          </w:p>
        </w:tc>
        <w:tc>
          <w:tcPr>
            <w:tcW w:w="1890" w:type="dxa"/>
          </w:tcPr>
          <w:p w:rsidR="00A63208" w:rsidRPr="0074017C" w:rsidRDefault="00A63208" w:rsidP="00DC10CD">
            <w:pPr>
              <w:jc w:val="both"/>
            </w:pPr>
            <w:r w:rsidRPr="0074017C">
              <w:t>Remeprazole 20</w:t>
            </w:r>
          </w:p>
        </w:tc>
        <w:tc>
          <w:tcPr>
            <w:tcW w:w="1233" w:type="dxa"/>
          </w:tcPr>
          <w:p w:rsidR="00A63208" w:rsidRPr="0074017C" w:rsidRDefault="00A63208" w:rsidP="00DC10CD">
            <w:pPr>
              <w:jc w:val="both"/>
            </w:pPr>
            <w:r w:rsidRPr="0074017C">
              <w:t>Remedica</w:t>
            </w:r>
          </w:p>
        </w:tc>
        <w:tc>
          <w:tcPr>
            <w:tcW w:w="703" w:type="dxa"/>
          </w:tcPr>
          <w:p w:rsidR="00A63208" w:rsidRPr="0074017C" w:rsidRDefault="00A63208" w:rsidP="00DC10CD">
            <w:pPr>
              <w:jc w:val="both"/>
            </w:pPr>
            <w:r w:rsidRPr="0074017C">
              <w:t>14,8</w:t>
            </w:r>
          </w:p>
        </w:tc>
        <w:tc>
          <w:tcPr>
            <w:tcW w:w="626" w:type="dxa"/>
          </w:tcPr>
          <w:p w:rsidR="00A63208" w:rsidRPr="0074017C" w:rsidRDefault="00A63208" w:rsidP="00DC10CD">
            <w:pPr>
              <w:jc w:val="both"/>
            </w:pPr>
            <w:r w:rsidRPr="0074017C">
              <w:t>4,4</w:t>
            </w:r>
          </w:p>
        </w:tc>
        <w:tc>
          <w:tcPr>
            <w:tcW w:w="606" w:type="dxa"/>
          </w:tcPr>
          <w:p w:rsidR="00A63208" w:rsidRPr="0074017C" w:rsidRDefault="00A63208" w:rsidP="00DC10CD">
            <w:pPr>
              <w:jc w:val="both"/>
            </w:pPr>
            <w:r w:rsidRPr="0074017C">
              <w:t>10,4</w:t>
            </w:r>
          </w:p>
        </w:tc>
      </w:tr>
      <w:tr w:rsidR="00A63208" w:rsidRPr="0074017C" w:rsidTr="001C27B1">
        <w:tc>
          <w:tcPr>
            <w:tcW w:w="747" w:type="dxa"/>
          </w:tcPr>
          <w:p w:rsidR="00A63208" w:rsidRPr="0074017C" w:rsidRDefault="00A63208" w:rsidP="00DC10CD">
            <w:pPr>
              <w:jc w:val="both"/>
            </w:pPr>
            <w:r w:rsidRPr="0074017C">
              <w:t>4/7</w:t>
            </w:r>
          </w:p>
        </w:tc>
        <w:tc>
          <w:tcPr>
            <w:tcW w:w="1071" w:type="dxa"/>
          </w:tcPr>
          <w:p w:rsidR="00A63208" w:rsidRPr="0074017C" w:rsidRDefault="00A63208" w:rsidP="00DC10CD">
            <w:pPr>
              <w:jc w:val="both"/>
            </w:pPr>
            <w:r w:rsidRPr="0074017C">
              <w:t>A02BC01</w:t>
            </w:r>
          </w:p>
        </w:tc>
        <w:tc>
          <w:tcPr>
            <w:tcW w:w="1980" w:type="dxa"/>
          </w:tcPr>
          <w:p w:rsidR="00A63208" w:rsidRPr="0074017C" w:rsidRDefault="00A63208" w:rsidP="00DC10CD">
            <w:pPr>
              <w:jc w:val="both"/>
            </w:pPr>
            <w:r w:rsidRPr="0074017C">
              <w:t>Omeprazole 20 mg</w:t>
            </w:r>
          </w:p>
        </w:tc>
        <w:tc>
          <w:tcPr>
            <w:tcW w:w="720" w:type="dxa"/>
          </w:tcPr>
          <w:p w:rsidR="00A63208" w:rsidRPr="0074017C" w:rsidRDefault="00A63208" w:rsidP="00DC10CD">
            <w:pPr>
              <w:jc w:val="both"/>
            </w:pPr>
            <w:r w:rsidRPr="0074017C">
              <w:t>Caps.</w:t>
            </w:r>
          </w:p>
        </w:tc>
        <w:tc>
          <w:tcPr>
            <w:tcW w:w="1890" w:type="dxa"/>
          </w:tcPr>
          <w:p w:rsidR="00A63208" w:rsidRPr="0074017C" w:rsidRDefault="00A63208" w:rsidP="00DC10CD">
            <w:pPr>
              <w:jc w:val="both"/>
            </w:pPr>
            <w:r w:rsidRPr="0074017C">
              <w:t>Eselan</w:t>
            </w:r>
          </w:p>
        </w:tc>
        <w:tc>
          <w:tcPr>
            <w:tcW w:w="1233" w:type="dxa"/>
          </w:tcPr>
          <w:p w:rsidR="00A63208" w:rsidRPr="0074017C" w:rsidRDefault="00A63208" w:rsidP="00DC10CD">
            <w:pPr>
              <w:jc w:val="both"/>
            </w:pPr>
            <w:r w:rsidRPr="0074017C">
              <w:t>Anfarm Hellas</w:t>
            </w:r>
          </w:p>
        </w:tc>
        <w:tc>
          <w:tcPr>
            <w:tcW w:w="703" w:type="dxa"/>
          </w:tcPr>
          <w:p w:rsidR="00A63208" w:rsidRPr="0074017C" w:rsidRDefault="00A63208" w:rsidP="00DC10CD">
            <w:pPr>
              <w:jc w:val="both"/>
            </w:pPr>
            <w:r w:rsidRPr="0074017C">
              <w:t>79,1</w:t>
            </w:r>
          </w:p>
        </w:tc>
        <w:tc>
          <w:tcPr>
            <w:tcW w:w="626" w:type="dxa"/>
          </w:tcPr>
          <w:p w:rsidR="00A63208" w:rsidRPr="0074017C" w:rsidRDefault="00A63208" w:rsidP="00DC10CD">
            <w:pPr>
              <w:jc w:val="both"/>
            </w:pPr>
            <w:r w:rsidRPr="0074017C">
              <w:t>68,7</w:t>
            </w:r>
          </w:p>
        </w:tc>
        <w:tc>
          <w:tcPr>
            <w:tcW w:w="606" w:type="dxa"/>
          </w:tcPr>
          <w:p w:rsidR="00A63208" w:rsidRPr="0074017C" w:rsidRDefault="00A63208" w:rsidP="00DC10CD">
            <w:pPr>
              <w:jc w:val="both"/>
            </w:pPr>
            <w:r w:rsidRPr="0074017C">
              <w:t>10,4</w:t>
            </w:r>
          </w:p>
        </w:tc>
      </w:tr>
    </w:tbl>
    <w:p w:rsidR="00A63208" w:rsidRPr="0074017C" w:rsidRDefault="00A63208" w:rsidP="00DC10CD">
      <w:pPr>
        <w:spacing w:after="0" w:line="240" w:lineRule="auto"/>
        <w:jc w:val="both"/>
      </w:pPr>
    </w:p>
    <w:p w:rsidR="001B2097" w:rsidRPr="00815C58" w:rsidRDefault="00310158" w:rsidP="00DC10CD">
      <w:pPr>
        <w:spacing w:after="0" w:line="240" w:lineRule="auto"/>
        <w:jc w:val="both"/>
        <w:rPr>
          <w:b/>
        </w:rPr>
      </w:pPr>
      <w:r w:rsidRPr="00815C58">
        <w:rPr>
          <w:b/>
        </w:rPr>
        <w:t>The reimbursed price is derived by multiplying the price of the unit dose (if several generics exist- that of the cheapest one) by a factor</w:t>
      </w:r>
      <w:r w:rsidR="00BB5CFE" w:rsidRPr="00815C58">
        <w:rPr>
          <w:b/>
        </w:rPr>
        <w:t>determined</w:t>
      </w:r>
      <w:r w:rsidR="00A63208" w:rsidRPr="00815C58">
        <w:rPr>
          <w:b/>
        </w:rPr>
        <w:t xml:space="preserve"> by the MoH’s committee on medicines</w:t>
      </w:r>
      <w:r w:rsidRPr="00815C58">
        <w:rPr>
          <w:b/>
        </w:rPr>
        <w:t xml:space="preserve"> that depends on the therapeutic area for which the medicine is used.  </w:t>
      </w:r>
      <w:r w:rsidR="001B2097" w:rsidRPr="00815C58">
        <w:rPr>
          <w:b/>
        </w:rPr>
        <w:t xml:space="preserve">However, market availability of the product is not taken into consideration, so it remains unclear whether these are actually always accessible to the public. In addition, the HIF does not benefit from the fact that in other countries unit doses in larger packs cost less than they do when packaged in smaller packs. The reimbursed price of the pack and the copayment are calculated during dispensing as prices of unit doses are multiplied by their number in the pack. </w:t>
      </w:r>
    </w:p>
    <w:p w:rsidR="001B2097" w:rsidRPr="00815C58" w:rsidRDefault="001B2097" w:rsidP="00DC10CD">
      <w:pPr>
        <w:spacing w:after="0" w:line="240" w:lineRule="auto"/>
        <w:jc w:val="both"/>
        <w:rPr>
          <w:b/>
        </w:rPr>
      </w:pPr>
    </w:p>
    <w:p w:rsidR="00CB42AF" w:rsidRPr="0074017C" w:rsidRDefault="00CB42AF" w:rsidP="00DC10CD">
      <w:pPr>
        <w:spacing w:after="0" w:line="240" w:lineRule="auto"/>
        <w:jc w:val="both"/>
      </w:pPr>
      <w:r w:rsidRPr="0074017C">
        <w:t xml:space="preserve">Table </w:t>
      </w:r>
      <w:r w:rsidR="00D076D5" w:rsidRPr="0074017C">
        <w:t>9</w:t>
      </w:r>
      <w:r w:rsidRPr="0074017C">
        <w:t xml:space="preserve"> lists the reimbursement levels for selected therapeutic subgroups. In some, the level of reimbursement varies by molecule.</w:t>
      </w:r>
    </w:p>
    <w:p w:rsidR="00244F70" w:rsidRPr="0074017C" w:rsidRDefault="00244F70" w:rsidP="00DC10CD">
      <w:pPr>
        <w:spacing w:after="0" w:line="240" w:lineRule="auto"/>
        <w:jc w:val="both"/>
      </w:pPr>
    </w:p>
    <w:p w:rsidR="00CB42AF" w:rsidRPr="0074017C" w:rsidRDefault="00D076D5" w:rsidP="00DC10CD">
      <w:pPr>
        <w:spacing w:after="0" w:line="240" w:lineRule="auto"/>
        <w:jc w:val="both"/>
      </w:pPr>
      <w:r w:rsidRPr="0074017C">
        <w:t>Table 9</w:t>
      </w:r>
      <w:r w:rsidR="00A93829" w:rsidRPr="0074017C">
        <w:t xml:space="preserve"> – Reimbursement levels for selected therapeutic subgroups</w:t>
      </w:r>
    </w:p>
    <w:tbl>
      <w:tblPr>
        <w:tblStyle w:val="TableGrid"/>
        <w:tblW w:w="0" w:type="auto"/>
        <w:tblLook w:val="04A0"/>
      </w:tblPr>
      <w:tblGrid>
        <w:gridCol w:w="6768"/>
        <w:gridCol w:w="2808"/>
      </w:tblGrid>
      <w:tr w:rsidR="00A63208" w:rsidRPr="0074017C" w:rsidTr="00A63208">
        <w:tc>
          <w:tcPr>
            <w:tcW w:w="6768" w:type="dxa"/>
          </w:tcPr>
          <w:p w:rsidR="00A63208" w:rsidRPr="0074017C" w:rsidRDefault="00A63208" w:rsidP="00DC10CD">
            <w:pPr>
              <w:tabs>
                <w:tab w:val="left" w:pos="3855"/>
              </w:tabs>
              <w:jc w:val="both"/>
              <w:rPr>
                <w:b/>
              </w:rPr>
            </w:pPr>
            <w:r w:rsidRPr="0074017C">
              <w:rPr>
                <w:b/>
              </w:rPr>
              <w:t>Therapeutic subgroup</w:t>
            </w:r>
            <w:r w:rsidRPr="0074017C">
              <w:rPr>
                <w:b/>
              </w:rPr>
              <w:tab/>
            </w:r>
          </w:p>
        </w:tc>
        <w:tc>
          <w:tcPr>
            <w:tcW w:w="2808" w:type="dxa"/>
          </w:tcPr>
          <w:p w:rsidR="00A63208" w:rsidRPr="0074017C" w:rsidRDefault="00A63208" w:rsidP="00DC10CD">
            <w:pPr>
              <w:jc w:val="both"/>
              <w:rPr>
                <w:b/>
              </w:rPr>
            </w:pPr>
            <w:r w:rsidRPr="0074017C">
              <w:rPr>
                <w:b/>
              </w:rPr>
              <w:t>Level of reimbursement</w:t>
            </w:r>
          </w:p>
        </w:tc>
      </w:tr>
      <w:tr w:rsidR="00A63208" w:rsidRPr="0074017C" w:rsidTr="00A63208">
        <w:tc>
          <w:tcPr>
            <w:tcW w:w="6768" w:type="dxa"/>
          </w:tcPr>
          <w:p w:rsidR="00A63208" w:rsidRPr="0074017C" w:rsidRDefault="00A63208" w:rsidP="00DC10CD">
            <w:pPr>
              <w:jc w:val="both"/>
            </w:pPr>
            <w:r w:rsidRPr="0074017C">
              <w:t>Antacids (A02</w:t>
            </w:r>
            <w:r w:rsidR="00CB42AF" w:rsidRPr="0074017C">
              <w:t>)</w:t>
            </w:r>
          </w:p>
        </w:tc>
        <w:tc>
          <w:tcPr>
            <w:tcW w:w="2808" w:type="dxa"/>
          </w:tcPr>
          <w:p w:rsidR="00A63208" w:rsidRPr="0074017C" w:rsidRDefault="00A63208" w:rsidP="00DC10CD">
            <w:pPr>
              <w:jc w:val="both"/>
            </w:pPr>
            <w:r w:rsidRPr="0074017C">
              <w:t>70%</w:t>
            </w:r>
          </w:p>
        </w:tc>
      </w:tr>
      <w:tr w:rsidR="00A63208" w:rsidRPr="0074017C" w:rsidTr="00A63208">
        <w:tc>
          <w:tcPr>
            <w:tcW w:w="6768" w:type="dxa"/>
          </w:tcPr>
          <w:p w:rsidR="00A63208" w:rsidRPr="0074017C" w:rsidRDefault="00A63208" w:rsidP="00DC10CD">
            <w:pPr>
              <w:jc w:val="both"/>
            </w:pPr>
            <w:r w:rsidRPr="0074017C">
              <w:t>Drugs used in diabetes (A10)</w:t>
            </w:r>
          </w:p>
        </w:tc>
        <w:tc>
          <w:tcPr>
            <w:tcW w:w="2808" w:type="dxa"/>
          </w:tcPr>
          <w:p w:rsidR="00A63208" w:rsidRPr="0074017C" w:rsidRDefault="00A63208" w:rsidP="00DC10CD">
            <w:pPr>
              <w:jc w:val="both"/>
            </w:pPr>
            <w:r w:rsidRPr="0074017C">
              <w:t>95%</w:t>
            </w:r>
          </w:p>
        </w:tc>
      </w:tr>
      <w:tr w:rsidR="00A63208" w:rsidRPr="0074017C" w:rsidTr="00A63208">
        <w:tc>
          <w:tcPr>
            <w:tcW w:w="6768" w:type="dxa"/>
          </w:tcPr>
          <w:p w:rsidR="00A63208" w:rsidRPr="0074017C" w:rsidRDefault="00A63208" w:rsidP="00DC10CD">
            <w:pPr>
              <w:jc w:val="both"/>
            </w:pPr>
            <w:r w:rsidRPr="0074017C">
              <w:t>Antithrombotic agents (B01)</w:t>
            </w:r>
          </w:p>
        </w:tc>
        <w:tc>
          <w:tcPr>
            <w:tcW w:w="2808" w:type="dxa"/>
          </w:tcPr>
          <w:p w:rsidR="00A63208" w:rsidRPr="0074017C" w:rsidRDefault="00A63208" w:rsidP="00DC10CD">
            <w:pPr>
              <w:jc w:val="both"/>
            </w:pPr>
            <w:r w:rsidRPr="0074017C">
              <w:t>85%</w:t>
            </w:r>
          </w:p>
        </w:tc>
      </w:tr>
      <w:tr w:rsidR="00A63208" w:rsidRPr="0074017C" w:rsidTr="00A63208">
        <w:tc>
          <w:tcPr>
            <w:tcW w:w="6768" w:type="dxa"/>
          </w:tcPr>
          <w:p w:rsidR="00A63208" w:rsidRPr="0074017C" w:rsidRDefault="00A63208" w:rsidP="00DC10CD">
            <w:pPr>
              <w:jc w:val="both"/>
            </w:pPr>
            <w:r w:rsidRPr="0074017C">
              <w:t>Diuretics (C03)</w:t>
            </w:r>
          </w:p>
        </w:tc>
        <w:tc>
          <w:tcPr>
            <w:tcW w:w="2808" w:type="dxa"/>
          </w:tcPr>
          <w:p w:rsidR="00A63208" w:rsidRPr="0074017C" w:rsidRDefault="00A63208" w:rsidP="00DC10CD">
            <w:pPr>
              <w:jc w:val="both"/>
            </w:pPr>
            <w:r w:rsidRPr="0074017C">
              <w:t>65%</w:t>
            </w:r>
          </w:p>
        </w:tc>
      </w:tr>
      <w:tr w:rsidR="00A63208" w:rsidRPr="0074017C" w:rsidTr="00A63208">
        <w:tc>
          <w:tcPr>
            <w:tcW w:w="6768" w:type="dxa"/>
          </w:tcPr>
          <w:p w:rsidR="00A63208" w:rsidRPr="0074017C" w:rsidRDefault="00A63208" w:rsidP="00DC10CD">
            <w:pPr>
              <w:jc w:val="both"/>
            </w:pPr>
            <w:r w:rsidRPr="0074017C">
              <w:t>Beta blocking agents (C07)</w:t>
            </w:r>
          </w:p>
        </w:tc>
        <w:tc>
          <w:tcPr>
            <w:tcW w:w="2808" w:type="dxa"/>
          </w:tcPr>
          <w:p w:rsidR="00A63208" w:rsidRPr="0074017C" w:rsidRDefault="00A63208" w:rsidP="00DC10CD">
            <w:pPr>
              <w:jc w:val="both"/>
            </w:pPr>
            <w:r w:rsidRPr="0074017C">
              <w:t>60%</w:t>
            </w:r>
          </w:p>
        </w:tc>
      </w:tr>
      <w:tr w:rsidR="00A63208" w:rsidRPr="0074017C" w:rsidTr="00A63208">
        <w:tc>
          <w:tcPr>
            <w:tcW w:w="6768" w:type="dxa"/>
          </w:tcPr>
          <w:p w:rsidR="00A63208" w:rsidRPr="0074017C" w:rsidRDefault="00A63208" w:rsidP="00DC10CD">
            <w:pPr>
              <w:jc w:val="both"/>
            </w:pPr>
            <w:r w:rsidRPr="0074017C">
              <w:t>Calcium channel blockers (C08)</w:t>
            </w:r>
          </w:p>
          <w:p w:rsidR="00A63208" w:rsidRPr="0074017C" w:rsidRDefault="00A63208" w:rsidP="00DC10CD">
            <w:pPr>
              <w:jc w:val="both"/>
            </w:pPr>
            <w:r w:rsidRPr="0074017C">
              <w:t>amlodipine</w:t>
            </w:r>
          </w:p>
          <w:p w:rsidR="00A63208" w:rsidRPr="0074017C" w:rsidRDefault="00A63208" w:rsidP="00DC10CD">
            <w:pPr>
              <w:jc w:val="both"/>
            </w:pPr>
            <w:r w:rsidRPr="0074017C">
              <w:t>felodipine</w:t>
            </w:r>
          </w:p>
          <w:p w:rsidR="00A63208" w:rsidRPr="0074017C" w:rsidRDefault="00A63208" w:rsidP="00DC10CD">
            <w:pPr>
              <w:jc w:val="both"/>
            </w:pPr>
            <w:r w:rsidRPr="0074017C">
              <w:lastRenderedPageBreak/>
              <w:t>nifedipine, verapamil, diltiazem</w:t>
            </w:r>
          </w:p>
        </w:tc>
        <w:tc>
          <w:tcPr>
            <w:tcW w:w="2808" w:type="dxa"/>
          </w:tcPr>
          <w:p w:rsidR="00A63208" w:rsidRPr="0074017C" w:rsidRDefault="00A63208" w:rsidP="00DC10CD">
            <w:pPr>
              <w:jc w:val="both"/>
            </w:pPr>
          </w:p>
          <w:p w:rsidR="00A63208" w:rsidRPr="0074017C" w:rsidRDefault="00A63208" w:rsidP="00DC10CD">
            <w:pPr>
              <w:jc w:val="both"/>
            </w:pPr>
            <w:r w:rsidRPr="0074017C">
              <w:t>85%</w:t>
            </w:r>
          </w:p>
          <w:p w:rsidR="00A63208" w:rsidRPr="0074017C" w:rsidRDefault="00A63208" w:rsidP="00DC10CD">
            <w:pPr>
              <w:jc w:val="both"/>
            </w:pPr>
            <w:r w:rsidRPr="0074017C">
              <w:t>50%</w:t>
            </w:r>
          </w:p>
          <w:p w:rsidR="00A63208" w:rsidRPr="0074017C" w:rsidRDefault="00A63208" w:rsidP="00DC10CD">
            <w:pPr>
              <w:jc w:val="both"/>
            </w:pPr>
            <w:r w:rsidRPr="0074017C">
              <w:lastRenderedPageBreak/>
              <w:t>80%</w:t>
            </w:r>
          </w:p>
        </w:tc>
      </w:tr>
      <w:tr w:rsidR="00A63208" w:rsidRPr="0074017C" w:rsidTr="00A63208">
        <w:tc>
          <w:tcPr>
            <w:tcW w:w="6768" w:type="dxa"/>
          </w:tcPr>
          <w:p w:rsidR="00A63208" w:rsidRPr="0074017C" w:rsidRDefault="00A63208" w:rsidP="00DC10CD">
            <w:pPr>
              <w:jc w:val="both"/>
            </w:pPr>
            <w:r w:rsidRPr="0074017C">
              <w:lastRenderedPageBreak/>
              <w:t>Antineoplastic and immunomodulating agents (L04)</w:t>
            </w:r>
          </w:p>
        </w:tc>
        <w:tc>
          <w:tcPr>
            <w:tcW w:w="2808" w:type="dxa"/>
          </w:tcPr>
          <w:p w:rsidR="00A63208" w:rsidRPr="0074017C" w:rsidRDefault="00A63208" w:rsidP="00DC10CD">
            <w:pPr>
              <w:jc w:val="both"/>
            </w:pPr>
            <w:r w:rsidRPr="0074017C">
              <w:t>100%</w:t>
            </w:r>
          </w:p>
        </w:tc>
      </w:tr>
      <w:tr w:rsidR="00A63208" w:rsidRPr="0074017C" w:rsidTr="00A63208">
        <w:tc>
          <w:tcPr>
            <w:tcW w:w="6768" w:type="dxa"/>
          </w:tcPr>
          <w:p w:rsidR="00A63208" w:rsidRPr="0074017C" w:rsidRDefault="00A63208" w:rsidP="00DC10CD">
            <w:pPr>
              <w:jc w:val="both"/>
            </w:pPr>
            <w:r w:rsidRPr="0074017C">
              <w:t>Analgesics (N02)</w:t>
            </w:r>
          </w:p>
        </w:tc>
        <w:tc>
          <w:tcPr>
            <w:tcW w:w="2808" w:type="dxa"/>
          </w:tcPr>
          <w:p w:rsidR="00A63208" w:rsidRPr="0074017C" w:rsidRDefault="00A63208" w:rsidP="00DC10CD">
            <w:pPr>
              <w:jc w:val="both"/>
            </w:pPr>
            <w:r w:rsidRPr="0074017C">
              <w:t>100%</w:t>
            </w:r>
          </w:p>
        </w:tc>
      </w:tr>
      <w:tr w:rsidR="00A63208" w:rsidRPr="0074017C" w:rsidTr="00A63208">
        <w:tc>
          <w:tcPr>
            <w:tcW w:w="6768" w:type="dxa"/>
          </w:tcPr>
          <w:p w:rsidR="00A63208" w:rsidRPr="0074017C" w:rsidRDefault="00A63208" w:rsidP="00DC10CD">
            <w:pPr>
              <w:jc w:val="both"/>
            </w:pPr>
            <w:r w:rsidRPr="0074017C">
              <w:t>Antiepileptics (N03)</w:t>
            </w:r>
          </w:p>
        </w:tc>
        <w:tc>
          <w:tcPr>
            <w:tcW w:w="2808" w:type="dxa"/>
          </w:tcPr>
          <w:p w:rsidR="00A63208" w:rsidRPr="0074017C" w:rsidRDefault="00A63208" w:rsidP="00DC10CD">
            <w:pPr>
              <w:jc w:val="both"/>
            </w:pPr>
            <w:r w:rsidRPr="0074017C">
              <w:t>85%</w:t>
            </w:r>
          </w:p>
        </w:tc>
      </w:tr>
      <w:tr w:rsidR="00A63208" w:rsidRPr="0074017C" w:rsidTr="00A63208">
        <w:tc>
          <w:tcPr>
            <w:tcW w:w="6768" w:type="dxa"/>
          </w:tcPr>
          <w:p w:rsidR="00A63208" w:rsidRPr="0074017C" w:rsidRDefault="00A63208" w:rsidP="00DC10CD">
            <w:pPr>
              <w:jc w:val="both"/>
            </w:pPr>
            <w:r w:rsidRPr="0074017C">
              <w:t>Psycholeptics (N05)</w:t>
            </w:r>
          </w:p>
          <w:p w:rsidR="00A63208" w:rsidRPr="0074017C" w:rsidRDefault="00A63208" w:rsidP="00DC10CD">
            <w:pPr>
              <w:jc w:val="both"/>
            </w:pPr>
            <w:r w:rsidRPr="0074017C">
              <w:t>olanzapine</w:t>
            </w:r>
          </w:p>
        </w:tc>
        <w:tc>
          <w:tcPr>
            <w:tcW w:w="2808" w:type="dxa"/>
          </w:tcPr>
          <w:p w:rsidR="00A63208" w:rsidRPr="0074017C" w:rsidRDefault="00A63208" w:rsidP="00DC10CD">
            <w:pPr>
              <w:jc w:val="both"/>
            </w:pPr>
            <w:r w:rsidRPr="0074017C">
              <w:t>80%</w:t>
            </w:r>
          </w:p>
          <w:p w:rsidR="00A63208" w:rsidRPr="0074017C" w:rsidRDefault="00A63208" w:rsidP="00DC10CD">
            <w:pPr>
              <w:jc w:val="both"/>
            </w:pPr>
            <w:r w:rsidRPr="0074017C">
              <w:t>50%</w:t>
            </w:r>
          </w:p>
        </w:tc>
      </w:tr>
      <w:tr w:rsidR="00A63208" w:rsidRPr="0074017C" w:rsidTr="00A63208">
        <w:tc>
          <w:tcPr>
            <w:tcW w:w="6768" w:type="dxa"/>
          </w:tcPr>
          <w:p w:rsidR="00A63208" w:rsidRPr="0074017C" w:rsidRDefault="00A63208" w:rsidP="00DC10CD">
            <w:pPr>
              <w:jc w:val="both"/>
            </w:pPr>
            <w:r w:rsidRPr="0074017C">
              <w:t>Etc.</w:t>
            </w:r>
          </w:p>
        </w:tc>
        <w:tc>
          <w:tcPr>
            <w:tcW w:w="2808" w:type="dxa"/>
          </w:tcPr>
          <w:p w:rsidR="00A63208" w:rsidRPr="0074017C" w:rsidRDefault="00A63208" w:rsidP="00DC10CD">
            <w:pPr>
              <w:jc w:val="both"/>
            </w:pPr>
          </w:p>
        </w:tc>
      </w:tr>
    </w:tbl>
    <w:p w:rsidR="00A63208" w:rsidRPr="0074017C" w:rsidRDefault="00CB42AF" w:rsidP="00DC10CD">
      <w:pPr>
        <w:tabs>
          <w:tab w:val="left" w:pos="7890"/>
        </w:tabs>
        <w:spacing w:after="0" w:line="240" w:lineRule="auto"/>
        <w:jc w:val="both"/>
      </w:pPr>
      <w:r w:rsidRPr="0074017C">
        <w:tab/>
      </w:r>
    </w:p>
    <w:p w:rsidR="00A63208" w:rsidRPr="0074017C" w:rsidRDefault="00A63208" w:rsidP="00DC10CD">
      <w:pPr>
        <w:spacing w:after="0" w:line="240" w:lineRule="auto"/>
        <w:jc w:val="both"/>
      </w:pPr>
    </w:p>
    <w:p w:rsidR="00E53E25" w:rsidRPr="0074017C" w:rsidRDefault="00E53E25" w:rsidP="00DC10CD">
      <w:pPr>
        <w:spacing w:after="0" w:line="240" w:lineRule="auto"/>
        <w:jc w:val="both"/>
      </w:pPr>
    </w:p>
    <w:p w:rsidR="00DA5E9A" w:rsidRPr="0074017C" w:rsidRDefault="00DA5E9A" w:rsidP="00DC10CD">
      <w:pPr>
        <w:pStyle w:val="Heading3"/>
        <w:spacing w:before="0" w:line="240" w:lineRule="auto"/>
      </w:pPr>
      <w:bookmarkStart w:id="13" w:name="_Toc391556311"/>
      <w:r w:rsidRPr="0074017C">
        <w:t>Reimbursed medicines- therapeutic options</w:t>
      </w:r>
      <w:bookmarkEnd w:id="13"/>
    </w:p>
    <w:p w:rsidR="00DA5E9A" w:rsidRPr="0074017C" w:rsidRDefault="00DA5E9A" w:rsidP="00DC10CD">
      <w:pPr>
        <w:spacing w:after="0" w:line="240" w:lineRule="auto"/>
        <w:jc w:val="both"/>
      </w:pPr>
    </w:p>
    <w:p w:rsidR="00255CF7" w:rsidRPr="0074017C" w:rsidRDefault="00DC224F" w:rsidP="00DC10CD">
      <w:pPr>
        <w:spacing w:after="0" w:line="240" w:lineRule="auto"/>
        <w:jc w:val="both"/>
        <w:rPr>
          <w:color w:val="FF0000"/>
        </w:rPr>
      </w:pPr>
      <w:r w:rsidRPr="0074017C">
        <w:t xml:space="preserve">The list is </w:t>
      </w:r>
      <w:r w:rsidR="00CB42AF" w:rsidRPr="0074017C">
        <w:t xml:space="preserve">fairly </w:t>
      </w:r>
      <w:r w:rsidRPr="0074017C">
        <w:t>modest</w:t>
      </w:r>
      <w:r w:rsidR="00626377" w:rsidRPr="0074017C">
        <w:t xml:space="preserve"> in </w:t>
      </w:r>
      <w:r w:rsidR="007F4602" w:rsidRPr="0074017C">
        <w:t>most</w:t>
      </w:r>
      <w:r w:rsidR="00626377" w:rsidRPr="0074017C">
        <w:t xml:space="preserve"> therapeutic areas</w:t>
      </w:r>
      <w:r w:rsidRPr="0074017C">
        <w:t xml:space="preserve">. </w:t>
      </w:r>
      <w:r w:rsidR="00CB42AF" w:rsidRPr="0074017C">
        <w:t xml:space="preserve">It </w:t>
      </w:r>
      <w:r w:rsidRPr="0074017C">
        <w:t xml:space="preserve">does not contain </w:t>
      </w:r>
      <w:r w:rsidR="00626377" w:rsidRPr="0074017C">
        <w:t>a number of</w:t>
      </w:r>
      <w:r w:rsidRPr="0074017C">
        <w:t xml:space="preserve"> medicines reimbursed in other countries of the Western Balkans region.</w:t>
      </w:r>
      <w:r w:rsidR="00D076D5" w:rsidRPr="0074017C">
        <w:t xml:space="preserve"> Table 10</w:t>
      </w:r>
      <w:r w:rsidR="00CB42AF" w:rsidRPr="0074017C">
        <w:t xml:space="preserve"> lists some of the </w:t>
      </w:r>
      <w:r w:rsidR="00494632" w:rsidRPr="0074017C">
        <w:t xml:space="preserve">less expensive </w:t>
      </w:r>
      <w:r w:rsidR="00CB42AF" w:rsidRPr="0074017C">
        <w:t>medicines typically reimbursed in other Western Balkans countries, but not reimbursed in Albania.</w:t>
      </w:r>
    </w:p>
    <w:p w:rsidR="001C27B1" w:rsidRPr="0074017C" w:rsidRDefault="001C27B1" w:rsidP="00DC10CD">
      <w:pPr>
        <w:spacing w:after="0" w:line="240" w:lineRule="auto"/>
        <w:jc w:val="both"/>
      </w:pPr>
    </w:p>
    <w:p w:rsidR="001B2097" w:rsidRPr="0074017C" w:rsidRDefault="00D076D5" w:rsidP="00DC10CD">
      <w:pPr>
        <w:spacing w:after="0" w:line="240" w:lineRule="auto"/>
        <w:jc w:val="both"/>
      </w:pPr>
      <w:r w:rsidRPr="0074017C">
        <w:t>Table 10</w:t>
      </w:r>
      <w:r w:rsidR="00A93829" w:rsidRPr="0074017C">
        <w:t xml:space="preserve"> – Medicines reimbursed in other Western Balkans countries not reimbursed in Albania</w:t>
      </w:r>
    </w:p>
    <w:tbl>
      <w:tblPr>
        <w:tblStyle w:val="TableGrid"/>
        <w:tblW w:w="0" w:type="auto"/>
        <w:tblLook w:val="04A0"/>
      </w:tblPr>
      <w:tblGrid>
        <w:gridCol w:w="3798"/>
        <w:gridCol w:w="5778"/>
      </w:tblGrid>
      <w:tr w:rsidR="00CB42AF" w:rsidRPr="0074017C" w:rsidTr="00CB42AF">
        <w:tc>
          <w:tcPr>
            <w:tcW w:w="3798" w:type="dxa"/>
          </w:tcPr>
          <w:p w:rsidR="00CB42AF" w:rsidRPr="0074017C" w:rsidRDefault="00CB42AF" w:rsidP="00DC10CD">
            <w:pPr>
              <w:tabs>
                <w:tab w:val="left" w:pos="3855"/>
              </w:tabs>
              <w:jc w:val="both"/>
              <w:rPr>
                <w:b/>
              </w:rPr>
            </w:pPr>
            <w:r w:rsidRPr="0074017C">
              <w:rPr>
                <w:b/>
              </w:rPr>
              <w:t>Therapeutic subgroup</w:t>
            </w:r>
            <w:r w:rsidRPr="0074017C">
              <w:rPr>
                <w:b/>
              </w:rPr>
              <w:tab/>
            </w:r>
          </w:p>
        </w:tc>
        <w:tc>
          <w:tcPr>
            <w:tcW w:w="5778" w:type="dxa"/>
          </w:tcPr>
          <w:p w:rsidR="00CB42AF" w:rsidRPr="0074017C" w:rsidRDefault="00CB42AF" w:rsidP="00DC10CD">
            <w:pPr>
              <w:jc w:val="both"/>
              <w:rPr>
                <w:b/>
              </w:rPr>
            </w:pPr>
            <w:r w:rsidRPr="0074017C">
              <w:rPr>
                <w:b/>
              </w:rPr>
              <w:t>Medicines not reimbursed in Albania</w:t>
            </w:r>
          </w:p>
        </w:tc>
      </w:tr>
      <w:tr w:rsidR="00CB42AF" w:rsidRPr="0074017C" w:rsidTr="00CB42AF">
        <w:tc>
          <w:tcPr>
            <w:tcW w:w="3798" w:type="dxa"/>
          </w:tcPr>
          <w:p w:rsidR="00CB42AF" w:rsidRPr="0074017C" w:rsidRDefault="00CB42AF" w:rsidP="00DC10CD">
            <w:pPr>
              <w:jc w:val="both"/>
            </w:pPr>
            <w:r w:rsidRPr="0074017C">
              <w:t>Antacids (A02)</w:t>
            </w:r>
          </w:p>
        </w:tc>
        <w:tc>
          <w:tcPr>
            <w:tcW w:w="5778" w:type="dxa"/>
          </w:tcPr>
          <w:p w:rsidR="00CB42AF" w:rsidRPr="0074017C" w:rsidRDefault="00CB42AF" w:rsidP="00DC10CD">
            <w:pPr>
              <w:jc w:val="both"/>
            </w:pPr>
            <w:r w:rsidRPr="0074017C">
              <w:t>famotidine, pantoprasole, lansoprasole and esomeprasole</w:t>
            </w:r>
          </w:p>
        </w:tc>
      </w:tr>
      <w:tr w:rsidR="00CB42AF" w:rsidRPr="0074017C" w:rsidTr="00CB42AF">
        <w:tc>
          <w:tcPr>
            <w:tcW w:w="3798" w:type="dxa"/>
          </w:tcPr>
          <w:p w:rsidR="00CB42AF" w:rsidRPr="0074017C" w:rsidRDefault="00494632" w:rsidP="00DC10CD">
            <w:pPr>
              <w:jc w:val="both"/>
            </w:pPr>
            <w:r w:rsidRPr="0074017C">
              <w:rPr>
                <w:iCs/>
              </w:rPr>
              <w:t>Antiemetics and antinauseants (A04)</w:t>
            </w:r>
          </w:p>
        </w:tc>
        <w:tc>
          <w:tcPr>
            <w:tcW w:w="5778" w:type="dxa"/>
          </w:tcPr>
          <w:p w:rsidR="00CB42AF" w:rsidRPr="0074017C" w:rsidRDefault="00494632" w:rsidP="00DC10CD">
            <w:pPr>
              <w:jc w:val="both"/>
            </w:pPr>
            <w:r w:rsidRPr="0074017C">
              <w:t>ondasentron, granisentron</w:t>
            </w:r>
          </w:p>
        </w:tc>
      </w:tr>
      <w:tr w:rsidR="00494632" w:rsidRPr="0074017C" w:rsidTr="00CB42AF">
        <w:tc>
          <w:tcPr>
            <w:tcW w:w="3798" w:type="dxa"/>
          </w:tcPr>
          <w:p w:rsidR="00494632" w:rsidRPr="0074017C" w:rsidRDefault="00494632" w:rsidP="00DC10CD">
            <w:pPr>
              <w:jc w:val="both"/>
              <w:rPr>
                <w:iCs/>
              </w:rPr>
            </w:pPr>
            <w:r w:rsidRPr="0074017C">
              <w:rPr>
                <w:iCs/>
              </w:rPr>
              <w:t>Drugs for constipation (A06)</w:t>
            </w:r>
          </w:p>
        </w:tc>
        <w:tc>
          <w:tcPr>
            <w:tcW w:w="5778" w:type="dxa"/>
          </w:tcPr>
          <w:p w:rsidR="00494632" w:rsidRPr="0074017C" w:rsidRDefault="007331C1" w:rsidP="00DC10CD">
            <w:pPr>
              <w:jc w:val="both"/>
            </w:pPr>
            <w:r w:rsidRPr="0074017C">
              <w:t>L</w:t>
            </w:r>
            <w:r w:rsidR="00494632" w:rsidRPr="0074017C">
              <w:t>actulose</w:t>
            </w:r>
          </w:p>
        </w:tc>
      </w:tr>
      <w:tr w:rsidR="00CB42AF" w:rsidRPr="0074017C" w:rsidTr="00CB42AF">
        <w:tc>
          <w:tcPr>
            <w:tcW w:w="3798" w:type="dxa"/>
          </w:tcPr>
          <w:p w:rsidR="00CB42AF" w:rsidRPr="0074017C" w:rsidRDefault="00CB42AF" w:rsidP="00DC10CD">
            <w:pPr>
              <w:jc w:val="both"/>
            </w:pPr>
            <w:r w:rsidRPr="0074017C">
              <w:t>Drugs used in diabetes (A10)</w:t>
            </w:r>
          </w:p>
        </w:tc>
        <w:tc>
          <w:tcPr>
            <w:tcW w:w="5778" w:type="dxa"/>
          </w:tcPr>
          <w:p w:rsidR="00CB42AF" w:rsidRPr="0074017C" w:rsidRDefault="007331C1" w:rsidP="00DC10CD">
            <w:pPr>
              <w:jc w:val="both"/>
            </w:pPr>
            <w:r w:rsidRPr="0074017C">
              <w:t>G</w:t>
            </w:r>
            <w:r w:rsidR="00494632" w:rsidRPr="0074017C">
              <w:t>limepiride</w:t>
            </w:r>
          </w:p>
        </w:tc>
      </w:tr>
      <w:tr w:rsidR="00C60E91" w:rsidRPr="0074017C" w:rsidTr="00CB42AF">
        <w:tc>
          <w:tcPr>
            <w:tcW w:w="3798" w:type="dxa"/>
          </w:tcPr>
          <w:p w:rsidR="00C60E91" w:rsidRPr="0074017C" w:rsidRDefault="00C60E91" w:rsidP="00DC10CD">
            <w:pPr>
              <w:jc w:val="both"/>
            </w:pPr>
            <w:r w:rsidRPr="0074017C">
              <w:rPr>
                <w:iCs/>
              </w:rPr>
              <w:t>Antihypertensives (C02)</w:t>
            </w:r>
          </w:p>
        </w:tc>
        <w:tc>
          <w:tcPr>
            <w:tcW w:w="5778" w:type="dxa"/>
          </w:tcPr>
          <w:p w:rsidR="00C60E91" w:rsidRPr="0074017C" w:rsidRDefault="007331C1" w:rsidP="00DC10CD">
            <w:pPr>
              <w:jc w:val="both"/>
            </w:pPr>
            <w:r w:rsidRPr="0074017C">
              <w:t>D</w:t>
            </w:r>
            <w:r w:rsidR="00C60E91" w:rsidRPr="0074017C">
              <w:t>oxazosin</w:t>
            </w:r>
          </w:p>
        </w:tc>
      </w:tr>
      <w:tr w:rsidR="00A52B20" w:rsidRPr="0074017C" w:rsidTr="00CB42AF">
        <w:tc>
          <w:tcPr>
            <w:tcW w:w="3798" w:type="dxa"/>
          </w:tcPr>
          <w:p w:rsidR="00A52B20" w:rsidRPr="0074017C" w:rsidRDefault="00A52B20" w:rsidP="00DC10CD">
            <w:pPr>
              <w:jc w:val="both"/>
              <w:rPr>
                <w:iCs/>
              </w:rPr>
            </w:pPr>
            <w:r w:rsidRPr="0074017C">
              <w:rPr>
                <w:iCs/>
              </w:rPr>
              <w:t>Agents acting on the renin-angiotensin system (C09)</w:t>
            </w:r>
          </w:p>
        </w:tc>
        <w:tc>
          <w:tcPr>
            <w:tcW w:w="5778" w:type="dxa"/>
          </w:tcPr>
          <w:p w:rsidR="00A52B20" w:rsidRPr="0074017C" w:rsidRDefault="00A52B20" w:rsidP="00DC10CD">
            <w:pPr>
              <w:jc w:val="both"/>
            </w:pPr>
            <w:r w:rsidRPr="0074017C">
              <w:t>lisinopril and ramipril</w:t>
            </w:r>
          </w:p>
        </w:tc>
      </w:tr>
      <w:tr w:rsidR="00CB42AF" w:rsidRPr="0074017C" w:rsidTr="00CB42AF">
        <w:tc>
          <w:tcPr>
            <w:tcW w:w="3798" w:type="dxa"/>
          </w:tcPr>
          <w:p w:rsidR="00CB42AF" w:rsidRPr="0074017C" w:rsidRDefault="00CB42AF" w:rsidP="00DC10CD">
            <w:pPr>
              <w:jc w:val="both"/>
            </w:pPr>
            <w:r w:rsidRPr="0074017C">
              <w:t>Psycholeptics (N05)</w:t>
            </w:r>
          </w:p>
        </w:tc>
        <w:tc>
          <w:tcPr>
            <w:tcW w:w="5778" w:type="dxa"/>
          </w:tcPr>
          <w:p w:rsidR="00CB42AF" w:rsidRPr="0074017C" w:rsidRDefault="00626377" w:rsidP="00DC10CD">
            <w:pPr>
              <w:jc w:val="both"/>
            </w:pPr>
            <w:r w:rsidRPr="0074017C">
              <w:t>bromazepam, alprazolam, nitrazepamandzolpidem</w:t>
            </w:r>
          </w:p>
        </w:tc>
      </w:tr>
      <w:tr w:rsidR="00626377" w:rsidRPr="0074017C" w:rsidTr="00CB42AF">
        <w:tc>
          <w:tcPr>
            <w:tcW w:w="3798" w:type="dxa"/>
          </w:tcPr>
          <w:p w:rsidR="00626377" w:rsidRPr="0074017C" w:rsidRDefault="00626377" w:rsidP="00DC10CD">
            <w:pPr>
              <w:jc w:val="both"/>
            </w:pPr>
            <w:r w:rsidRPr="0074017C">
              <w:t>Psychoanaleptics (N06)</w:t>
            </w:r>
          </w:p>
        </w:tc>
        <w:tc>
          <w:tcPr>
            <w:tcW w:w="5778" w:type="dxa"/>
          </w:tcPr>
          <w:p w:rsidR="00626377" w:rsidRPr="0074017C" w:rsidRDefault="00626377" w:rsidP="00DC10CD">
            <w:pPr>
              <w:jc w:val="both"/>
            </w:pPr>
            <w:r w:rsidRPr="0074017C">
              <w:t>sertralin, paroxetin, escitalopram</w:t>
            </w:r>
          </w:p>
        </w:tc>
      </w:tr>
      <w:tr w:rsidR="00626377" w:rsidRPr="0074017C" w:rsidTr="00CB42AF">
        <w:tc>
          <w:tcPr>
            <w:tcW w:w="3798" w:type="dxa"/>
          </w:tcPr>
          <w:p w:rsidR="00626377" w:rsidRPr="0074017C" w:rsidRDefault="00626377" w:rsidP="00DC10CD">
            <w:pPr>
              <w:jc w:val="both"/>
            </w:pPr>
            <w:r w:rsidRPr="0074017C">
              <w:t>Antiprotozoals (P01)</w:t>
            </w:r>
          </w:p>
        </w:tc>
        <w:tc>
          <w:tcPr>
            <w:tcW w:w="5778" w:type="dxa"/>
          </w:tcPr>
          <w:p w:rsidR="00626377" w:rsidRPr="0074017C" w:rsidRDefault="007331C1" w:rsidP="00DC10CD">
            <w:pPr>
              <w:jc w:val="both"/>
            </w:pPr>
            <w:r w:rsidRPr="0074017C">
              <w:t>M</w:t>
            </w:r>
            <w:r w:rsidR="00626377" w:rsidRPr="0074017C">
              <w:t>etronidazol</w:t>
            </w:r>
          </w:p>
        </w:tc>
      </w:tr>
      <w:tr w:rsidR="00626377" w:rsidRPr="0074017C" w:rsidTr="00CB42AF">
        <w:tc>
          <w:tcPr>
            <w:tcW w:w="3798" w:type="dxa"/>
          </w:tcPr>
          <w:p w:rsidR="00626377" w:rsidRPr="0074017C" w:rsidRDefault="00626377" w:rsidP="00DC10CD">
            <w:pPr>
              <w:jc w:val="both"/>
            </w:pPr>
            <w:r w:rsidRPr="0074017C">
              <w:t>Drugs for obstructive airway diseases (R03)</w:t>
            </w:r>
          </w:p>
        </w:tc>
        <w:tc>
          <w:tcPr>
            <w:tcW w:w="5778" w:type="dxa"/>
          </w:tcPr>
          <w:p w:rsidR="00626377" w:rsidRPr="0074017C" w:rsidRDefault="007331C1" w:rsidP="00DC10CD">
            <w:pPr>
              <w:jc w:val="both"/>
            </w:pPr>
            <w:r w:rsidRPr="0074017C">
              <w:t>M</w:t>
            </w:r>
            <w:r w:rsidR="00626377" w:rsidRPr="0074017C">
              <w:t>o</w:t>
            </w:r>
            <w:r w:rsidR="00B35709" w:rsidRPr="0074017C">
              <w:t>n</w:t>
            </w:r>
            <w:r w:rsidR="00626377" w:rsidRPr="0074017C">
              <w:t>telukast</w:t>
            </w:r>
          </w:p>
        </w:tc>
      </w:tr>
      <w:tr w:rsidR="00082346" w:rsidRPr="0074017C" w:rsidTr="00082346">
        <w:tc>
          <w:tcPr>
            <w:tcW w:w="9576" w:type="dxa"/>
            <w:gridSpan w:val="2"/>
          </w:tcPr>
          <w:p w:rsidR="00082346" w:rsidRPr="0074017C" w:rsidRDefault="00082346" w:rsidP="00DC10CD">
            <w:pPr>
              <w:jc w:val="both"/>
            </w:pPr>
            <w:r w:rsidRPr="0074017C">
              <w:t>Etc.</w:t>
            </w:r>
          </w:p>
        </w:tc>
      </w:tr>
    </w:tbl>
    <w:p w:rsidR="00CB42AF" w:rsidRPr="0074017C" w:rsidRDefault="00CB42AF" w:rsidP="00DC10CD">
      <w:pPr>
        <w:spacing w:after="0" w:line="240" w:lineRule="auto"/>
        <w:jc w:val="both"/>
      </w:pPr>
    </w:p>
    <w:p w:rsidR="001C27B1" w:rsidRPr="0074017C" w:rsidRDefault="00DC224F" w:rsidP="00DC10CD">
      <w:pPr>
        <w:spacing w:after="0" w:line="240" w:lineRule="auto"/>
        <w:jc w:val="both"/>
      </w:pPr>
      <w:r w:rsidRPr="0074017C">
        <w:t>Including these</w:t>
      </w:r>
      <w:r w:rsidR="00244F70" w:rsidRPr="0074017C">
        <w:t xml:space="preserve"> (and others)</w:t>
      </w:r>
      <w:r w:rsidRPr="0074017C">
        <w:t xml:space="preserve"> in reimbursement would not necessarily incur </w:t>
      </w:r>
      <w:r w:rsidR="00DA5E9A" w:rsidRPr="0074017C">
        <w:t xml:space="preserve">substantial </w:t>
      </w:r>
      <w:r w:rsidRPr="0074017C">
        <w:t xml:space="preserve">additional costs as they are </w:t>
      </w:r>
      <w:r w:rsidR="001C27B1" w:rsidRPr="0074017C">
        <w:t>in most cases</w:t>
      </w:r>
      <w:r w:rsidRPr="0074017C">
        <w:t xml:space="preserve"> essentially therapeutically similar (me-too medicines) to</w:t>
      </w:r>
      <w:r w:rsidR="001C27B1" w:rsidRPr="0074017C">
        <w:t xml:space="preserve"> already reimbursed medicines, but would e</w:t>
      </w:r>
      <w:r w:rsidR="000C4BC8" w:rsidRPr="0074017C">
        <w:t>nrich therapeutic options for doctors.</w:t>
      </w:r>
      <w:r w:rsidRPr="0074017C">
        <w:t xml:space="preserve"> Many countries take advantage of including these in reimbursement </w:t>
      </w:r>
      <w:r w:rsidR="001C27B1" w:rsidRPr="0074017C">
        <w:t xml:space="preserve">by regulating that </w:t>
      </w:r>
      <w:r w:rsidRPr="0074017C">
        <w:t xml:space="preserve">prices (reimbursed and total) have to be lower compared to </w:t>
      </w:r>
      <w:r w:rsidR="00DC2247" w:rsidRPr="0074017C">
        <w:t xml:space="preserve">similar </w:t>
      </w:r>
      <w:r w:rsidRPr="0074017C">
        <w:t xml:space="preserve">already reimbursed medicines. In this way, through </w:t>
      </w:r>
      <w:r w:rsidR="001C27B1" w:rsidRPr="0074017C">
        <w:t xml:space="preserve">market competition and/or </w:t>
      </w:r>
      <w:r w:rsidR="000C4BC8" w:rsidRPr="0074017C">
        <w:t xml:space="preserve">internal </w:t>
      </w:r>
      <w:r w:rsidR="00244F70" w:rsidRPr="0074017C">
        <w:t xml:space="preserve">(therapeutic value) </w:t>
      </w:r>
      <w:r w:rsidR="000C4BC8" w:rsidRPr="0074017C">
        <w:t>reference pricing</w:t>
      </w:r>
      <w:r w:rsidRPr="0074017C">
        <w:t xml:space="preserve">, the reimbursed price of all </w:t>
      </w:r>
      <w:r w:rsidR="001C27B1" w:rsidRPr="0074017C">
        <w:t>subgroup</w:t>
      </w:r>
      <w:r w:rsidRPr="0074017C">
        <w:t xml:space="preserve"> medicines </w:t>
      </w:r>
      <w:r w:rsidR="00244F70" w:rsidRPr="0074017C">
        <w:t>can</w:t>
      </w:r>
      <w:r w:rsidRPr="0074017C">
        <w:t xml:space="preserve"> be lowered. </w:t>
      </w:r>
    </w:p>
    <w:p w:rsidR="001C27B1" w:rsidRPr="0074017C" w:rsidRDefault="001C27B1" w:rsidP="00DC10CD">
      <w:pPr>
        <w:spacing w:after="0" w:line="240" w:lineRule="auto"/>
        <w:jc w:val="both"/>
      </w:pPr>
    </w:p>
    <w:p w:rsidR="00B35709" w:rsidRPr="0074017C" w:rsidRDefault="001C5BB8" w:rsidP="00DC10CD">
      <w:pPr>
        <w:spacing w:after="0" w:line="240" w:lineRule="auto"/>
        <w:jc w:val="both"/>
      </w:pPr>
      <w:r w:rsidRPr="0074017C">
        <w:t>At the same time</w:t>
      </w:r>
      <w:r w:rsidR="001B2097" w:rsidRPr="0074017C">
        <w:t xml:space="preserve"> the list contains some expensive medicines not usually reimbursed in other Western Balkans countries such as Concerta which is used to treat Attention Deficit Hyperactivity Disorder, Gilenya which is used to treat relapsing forms of Multiple Sclerosis, etc.</w:t>
      </w:r>
      <w:r w:rsidR="007F4602" w:rsidRPr="0074017C">
        <w:t xml:space="preserve"> The cost effectiveness of the use of these medicines in Albanian financial circumstances is questionable.</w:t>
      </w:r>
    </w:p>
    <w:p w:rsidR="001C5BB8" w:rsidRPr="0074017C" w:rsidRDefault="001C5BB8" w:rsidP="00DC10CD">
      <w:pPr>
        <w:spacing w:after="0" w:line="240" w:lineRule="auto"/>
        <w:jc w:val="both"/>
      </w:pPr>
    </w:p>
    <w:p w:rsidR="00BB5CFE" w:rsidRPr="0074017C" w:rsidRDefault="00BB5CFE" w:rsidP="00DC10CD">
      <w:pPr>
        <w:spacing w:after="0" w:line="240" w:lineRule="auto"/>
        <w:jc w:val="both"/>
      </w:pPr>
    </w:p>
    <w:p w:rsidR="00BB5CFE" w:rsidRPr="0074017C" w:rsidRDefault="00BB5CFE" w:rsidP="00DC10CD">
      <w:pPr>
        <w:spacing w:after="0" w:line="240" w:lineRule="auto"/>
        <w:jc w:val="both"/>
      </w:pPr>
    </w:p>
    <w:p w:rsidR="001C27B1" w:rsidRPr="0074017C" w:rsidRDefault="00BE7EF0" w:rsidP="00DC10CD">
      <w:pPr>
        <w:pStyle w:val="Heading3"/>
        <w:spacing w:before="0" w:line="240" w:lineRule="auto"/>
      </w:pPr>
      <w:bookmarkStart w:id="14" w:name="_Toc391556312"/>
      <w:r w:rsidRPr="0074017C">
        <w:lastRenderedPageBreak/>
        <w:t>Value for Money</w:t>
      </w:r>
      <w:bookmarkEnd w:id="14"/>
    </w:p>
    <w:p w:rsidR="001C27B1" w:rsidRPr="0074017C" w:rsidRDefault="001C27B1" w:rsidP="00DC10CD">
      <w:pPr>
        <w:spacing w:after="0" w:line="240" w:lineRule="auto"/>
        <w:jc w:val="both"/>
      </w:pPr>
    </w:p>
    <w:p w:rsidR="001C27B1" w:rsidRPr="0074017C" w:rsidRDefault="00AC5115" w:rsidP="00DC10CD">
      <w:pPr>
        <w:pStyle w:val="Heading4"/>
        <w:spacing w:before="0" w:line="240" w:lineRule="auto"/>
      </w:pPr>
      <w:r w:rsidRPr="0074017C">
        <w:t>Copayments</w:t>
      </w:r>
    </w:p>
    <w:p w:rsidR="00AC5115" w:rsidRPr="0074017C" w:rsidRDefault="00AC5115" w:rsidP="00DC10CD">
      <w:pPr>
        <w:spacing w:after="0" w:line="240" w:lineRule="auto"/>
        <w:jc w:val="both"/>
      </w:pPr>
    </w:p>
    <w:p w:rsidR="008C3A73" w:rsidRPr="0074017C" w:rsidRDefault="00082346" w:rsidP="00DC10CD">
      <w:pPr>
        <w:spacing w:after="0" w:line="240" w:lineRule="auto"/>
        <w:jc w:val="both"/>
      </w:pPr>
      <w:r w:rsidRPr="0074017C">
        <w:t>Many generic companies operate in the Albanian pharmaceutical market and have their products reimbursed by the HIF. However, the current reimbursement system has so far not been able to incentivize</w:t>
      </w:r>
      <w:r w:rsidR="00CD67F4" w:rsidRPr="0074017C">
        <w:t xml:space="preserve"> or force</w:t>
      </w:r>
      <w:r w:rsidRPr="0074017C">
        <w:t xml:space="preserve"> them to compete on prices.  Table </w:t>
      </w:r>
      <w:r w:rsidR="00312CCE" w:rsidRPr="0074017C">
        <w:t>9</w:t>
      </w:r>
      <w:r w:rsidRPr="0074017C">
        <w:t xml:space="preserve"> lists several examples of a phenomenon that can be seen in virtually all therapeutic groups – copayments for the same drug varying up to 17 times (for risperidone).</w:t>
      </w:r>
      <w:r w:rsidR="008C3A73" w:rsidRPr="0074017C">
        <w:t xml:space="preserve"> As bioequivalence and quality are assured by the National Center for Drug Control – patients spend out of pocket unnecessarily. The same applies to </w:t>
      </w:r>
      <w:r w:rsidR="00960DA3" w:rsidRPr="0074017C">
        <w:t xml:space="preserve">the HIF as for </w:t>
      </w:r>
      <w:r w:rsidR="008C3A73" w:rsidRPr="0074017C">
        <w:t xml:space="preserve">veterans and war invalids </w:t>
      </w:r>
      <w:r w:rsidR="00960DA3" w:rsidRPr="0074017C">
        <w:t>all version</w:t>
      </w:r>
      <w:r w:rsidR="00CD67F4" w:rsidRPr="0074017C">
        <w:t>s</w:t>
      </w:r>
      <w:r w:rsidR="00960DA3" w:rsidRPr="0074017C">
        <w:t xml:space="preserve"> can be prescribed with no </w:t>
      </w:r>
      <w:r w:rsidR="008C3A73" w:rsidRPr="0074017C">
        <w:t xml:space="preserve">copayments. </w:t>
      </w:r>
    </w:p>
    <w:p w:rsidR="008C3A73" w:rsidRPr="0074017C" w:rsidRDefault="008C3A73" w:rsidP="00DC10CD">
      <w:pPr>
        <w:spacing w:after="0" w:line="240" w:lineRule="auto"/>
        <w:jc w:val="both"/>
      </w:pPr>
    </w:p>
    <w:p w:rsidR="00AC5115" w:rsidRPr="0074017C" w:rsidRDefault="008C3A73" w:rsidP="00DC10CD">
      <w:pPr>
        <w:spacing w:after="0" w:line="240" w:lineRule="auto"/>
        <w:jc w:val="both"/>
      </w:pPr>
      <w:r w:rsidRPr="0074017C">
        <w:t>In most cases</w:t>
      </w:r>
      <w:r w:rsidR="00082346" w:rsidRPr="0074017C">
        <w:t>, originator product</w:t>
      </w:r>
      <w:r w:rsidR="00960DA3" w:rsidRPr="0074017C">
        <w:t>s are</w:t>
      </w:r>
      <w:r w:rsidR="00082346" w:rsidRPr="0074017C">
        <w:t xml:space="preserve"> more expensive</w:t>
      </w:r>
      <w:r w:rsidR="00960DA3" w:rsidRPr="0074017C">
        <w:t xml:space="preserve"> and have higher copa</w:t>
      </w:r>
      <w:r w:rsidR="00CD67F4" w:rsidRPr="0074017C">
        <w:t>y</w:t>
      </w:r>
      <w:r w:rsidR="00960DA3" w:rsidRPr="0074017C">
        <w:t>ments</w:t>
      </w:r>
      <w:r w:rsidRPr="0074017C">
        <w:t xml:space="preserve"> tha</w:t>
      </w:r>
      <w:r w:rsidR="00960DA3" w:rsidRPr="0074017C">
        <w:t>n</w:t>
      </w:r>
      <w:r w:rsidRPr="0074017C">
        <w:t xml:space="preserve"> generic</w:t>
      </w:r>
      <w:r w:rsidR="00960DA3" w:rsidRPr="0074017C">
        <w:t xml:space="preserve"> copies</w:t>
      </w:r>
      <w:r w:rsidR="00082346" w:rsidRPr="0074017C">
        <w:t xml:space="preserve">. </w:t>
      </w:r>
      <w:r w:rsidR="00960DA3" w:rsidRPr="0074017C">
        <w:t xml:space="preserve">This phenomenon is </w:t>
      </w:r>
      <w:r w:rsidR="006561B6" w:rsidRPr="0074017C">
        <w:t>frequent</w:t>
      </w:r>
      <w:r w:rsidR="00960DA3" w:rsidRPr="0074017C">
        <w:t xml:space="preserve"> in many countries </w:t>
      </w:r>
      <w:r w:rsidR="00CD67F4" w:rsidRPr="0074017C">
        <w:t xml:space="preserve">(albeit </w:t>
      </w:r>
      <w:r w:rsidR="00EF30EF" w:rsidRPr="0074017C">
        <w:t>not</w:t>
      </w:r>
      <w:r w:rsidR="007F4602" w:rsidRPr="0074017C">
        <w:t xml:space="preserve"> nearly</w:t>
      </w:r>
      <w:r w:rsidR="00CD67F4" w:rsidRPr="0074017C">
        <w:t xml:space="preserve"> to such a degree) </w:t>
      </w:r>
      <w:r w:rsidR="00960DA3" w:rsidRPr="0074017C">
        <w:t xml:space="preserve">as </w:t>
      </w:r>
      <w:r w:rsidR="007F4602" w:rsidRPr="0074017C">
        <w:t xml:space="preserve">originator </w:t>
      </w:r>
      <w:r w:rsidR="00960DA3" w:rsidRPr="0074017C">
        <w:t xml:space="preserve">companies </w:t>
      </w:r>
      <w:r w:rsidR="007F4602" w:rsidRPr="0074017C">
        <w:t xml:space="preserve">defend profits when volumes decline by keeping prices high </w:t>
      </w:r>
      <w:r w:rsidR="00960DA3" w:rsidRPr="0074017C">
        <w:t>count</w:t>
      </w:r>
      <w:r w:rsidR="007F4602" w:rsidRPr="0074017C">
        <w:t>ing on brand loyal customers</w:t>
      </w:r>
      <w:r w:rsidR="00960DA3" w:rsidRPr="0074017C">
        <w:t xml:space="preserve">. </w:t>
      </w:r>
      <w:r w:rsidR="00082346" w:rsidRPr="0074017C">
        <w:t>However, in a number of INNs, generics have substantially higher copayments than originators. For instance, the copayment for a 50 mg tablet of bicalutamide</w:t>
      </w:r>
      <w:r w:rsidRPr="0074017C">
        <w:t xml:space="preserve">produced by Accord Healthcare is 2,3 times higher than </w:t>
      </w:r>
      <w:r w:rsidR="00082346" w:rsidRPr="0074017C">
        <w:t xml:space="preserve"> for AstraZeneca’s </w:t>
      </w:r>
      <w:r w:rsidRPr="0074017C">
        <w:t xml:space="preserve">originator </w:t>
      </w:r>
      <w:r w:rsidR="00082346" w:rsidRPr="0074017C">
        <w:t>Casodex</w:t>
      </w:r>
      <w:r w:rsidRPr="0074017C">
        <w:t xml:space="preserve">product. </w:t>
      </w:r>
      <w:r w:rsidR="00312CCE" w:rsidRPr="0074017C">
        <w:t>The same applies for Roche’s Xeloda that has no copayment, while it’s generic copy produced by Alvogen retails at a copayment of 150,40 LEK per tablet.</w:t>
      </w:r>
    </w:p>
    <w:p w:rsidR="00960DA3" w:rsidRPr="0074017C" w:rsidRDefault="00960DA3" w:rsidP="00DC10CD">
      <w:pPr>
        <w:spacing w:after="0" w:line="240" w:lineRule="auto"/>
        <w:jc w:val="both"/>
      </w:pPr>
    </w:p>
    <w:p w:rsidR="00312CCE" w:rsidRPr="0074017C" w:rsidRDefault="00312CCE" w:rsidP="00DC10CD">
      <w:pPr>
        <w:spacing w:after="0" w:line="240" w:lineRule="auto"/>
        <w:jc w:val="both"/>
      </w:pPr>
    </w:p>
    <w:p w:rsidR="00312CCE" w:rsidRPr="0074017C" w:rsidRDefault="00875271" w:rsidP="00DC10CD">
      <w:pPr>
        <w:spacing w:after="0" w:line="240" w:lineRule="auto"/>
        <w:jc w:val="both"/>
      </w:pPr>
      <w:r w:rsidRPr="0074017C">
        <w:t>Table 1</w:t>
      </w:r>
      <w:r w:rsidR="00D076D5" w:rsidRPr="0074017C">
        <w:t>1</w:t>
      </w:r>
      <w:r w:rsidR="00A93829" w:rsidRPr="0074017C">
        <w:t xml:space="preserve"> – Differences in copayments for selected prescription medicines</w:t>
      </w:r>
    </w:p>
    <w:tbl>
      <w:tblPr>
        <w:tblStyle w:val="TableGrid"/>
        <w:tblW w:w="5000" w:type="pct"/>
        <w:tblLook w:val="04A0"/>
      </w:tblPr>
      <w:tblGrid>
        <w:gridCol w:w="2089"/>
        <w:gridCol w:w="877"/>
        <w:gridCol w:w="1427"/>
        <w:gridCol w:w="1427"/>
        <w:gridCol w:w="915"/>
        <w:gridCol w:w="1249"/>
        <w:gridCol w:w="1592"/>
      </w:tblGrid>
      <w:tr w:rsidR="00B35709" w:rsidRPr="0074017C" w:rsidTr="0025100D">
        <w:tc>
          <w:tcPr>
            <w:tcW w:w="1091" w:type="pct"/>
          </w:tcPr>
          <w:p w:rsidR="00B35709" w:rsidRPr="0074017C" w:rsidRDefault="00B35709" w:rsidP="00DC10CD">
            <w:pPr>
              <w:jc w:val="both"/>
              <w:rPr>
                <w:b/>
              </w:rPr>
            </w:pPr>
            <w:r w:rsidRPr="0074017C">
              <w:rPr>
                <w:b/>
              </w:rPr>
              <w:t>INN</w:t>
            </w:r>
          </w:p>
        </w:tc>
        <w:tc>
          <w:tcPr>
            <w:tcW w:w="458" w:type="pct"/>
          </w:tcPr>
          <w:p w:rsidR="00B35709" w:rsidRPr="0074017C" w:rsidRDefault="00B35709" w:rsidP="00DC10CD">
            <w:pPr>
              <w:jc w:val="both"/>
              <w:rPr>
                <w:b/>
              </w:rPr>
            </w:pPr>
            <w:r w:rsidRPr="0074017C">
              <w:rPr>
                <w:b/>
              </w:rPr>
              <w:t>Form</w:t>
            </w:r>
          </w:p>
        </w:tc>
        <w:tc>
          <w:tcPr>
            <w:tcW w:w="745" w:type="pct"/>
          </w:tcPr>
          <w:p w:rsidR="00B35709" w:rsidRPr="0074017C" w:rsidRDefault="00B35709" w:rsidP="00DC10CD">
            <w:pPr>
              <w:jc w:val="both"/>
              <w:rPr>
                <w:b/>
              </w:rPr>
            </w:pPr>
            <w:r w:rsidRPr="0074017C">
              <w:rPr>
                <w:b/>
              </w:rPr>
              <w:t>Brand name</w:t>
            </w:r>
          </w:p>
        </w:tc>
        <w:tc>
          <w:tcPr>
            <w:tcW w:w="745" w:type="pct"/>
          </w:tcPr>
          <w:p w:rsidR="00B35709" w:rsidRPr="0074017C" w:rsidRDefault="00B35709" w:rsidP="00DC10CD">
            <w:pPr>
              <w:jc w:val="both"/>
              <w:rPr>
                <w:b/>
              </w:rPr>
            </w:pPr>
            <w:r w:rsidRPr="0074017C">
              <w:rPr>
                <w:b/>
              </w:rPr>
              <w:t>MAH</w:t>
            </w:r>
          </w:p>
        </w:tc>
        <w:tc>
          <w:tcPr>
            <w:tcW w:w="478" w:type="pct"/>
          </w:tcPr>
          <w:p w:rsidR="00B35709" w:rsidRPr="0074017C" w:rsidRDefault="00B35709" w:rsidP="00DC10CD">
            <w:pPr>
              <w:jc w:val="both"/>
              <w:rPr>
                <w:b/>
              </w:rPr>
            </w:pPr>
            <w:r w:rsidRPr="0074017C">
              <w:rPr>
                <w:b/>
              </w:rPr>
              <w:t xml:space="preserve">Total price </w:t>
            </w:r>
          </w:p>
        </w:tc>
        <w:tc>
          <w:tcPr>
            <w:tcW w:w="652" w:type="pct"/>
          </w:tcPr>
          <w:p w:rsidR="00B35709" w:rsidRPr="0074017C" w:rsidRDefault="00B35709" w:rsidP="00DC10CD">
            <w:pPr>
              <w:jc w:val="both"/>
              <w:rPr>
                <w:b/>
              </w:rPr>
            </w:pPr>
            <w:r w:rsidRPr="0074017C">
              <w:rPr>
                <w:b/>
              </w:rPr>
              <w:t>Co-payment</w:t>
            </w:r>
          </w:p>
        </w:tc>
        <w:tc>
          <w:tcPr>
            <w:tcW w:w="831" w:type="pct"/>
          </w:tcPr>
          <w:p w:rsidR="00B35709" w:rsidRPr="0074017C" w:rsidRDefault="00B35709" w:rsidP="00DC10CD">
            <w:pPr>
              <w:jc w:val="both"/>
              <w:rPr>
                <w:b/>
              </w:rPr>
            </w:pPr>
            <w:r w:rsidRPr="0074017C">
              <w:rPr>
                <w:b/>
              </w:rPr>
              <w:t>Reimbursed price</w:t>
            </w:r>
          </w:p>
        </w:tc>
      </w:tr>
      <w:tr w:rsidR="00B35709" w:rsidRPr="0074017C" w:rsidTr="0025100D">
        <w:tc>
          <w:tcPr>
            <w:tcW w:w="1091" w:type="pct"/>
            <w:shd w:val="clear" w:color="auto" w:fill="FFFFFF" w:themeFill="background1"/>
          </w:tcPr>
          <w:p w:rsidR="00B35709" w:rsidRPr="0074017C" w:rsidRDefault="00B35709" w:rsidP="00DC10CD">
            <w:r w:rsidRPr="0074017C">
              <w:t>Ranitidine 150 mg</w:t>
            </w:r>
          </w:p>
        </w:tc>
        <w:tc>
          <w:tcPr>
            <w:tcW w:w="458" w:type="pct"/>
            <w:shd w:val="clear" w:color="auto" w:fill="FFFFFF" w:themeFill="background1"/>
          </w:tcPr>
          <w:p w:rsidR="00B35709" w:rsidRPr="0074017C" w:rsidRDefault="00B35709" w:rsidP="00DC10CD">
            <w:r w:rsidRPr="0074017C">
              <w:t>tbl</w:t>
            </w:r>
          </w:p>
        </w:tc>
        <w:tc>
          <w:tcPr>
            <w:tcW w:w="745" w:type="pct"/>
            <w:shd w:val="clear" w:color="auto" w:fill="FFFFFF" w:themeFill="background1"/>
          </w:tcPr>
          <w:p w:rsidR="00B35709" w:rsidRPr="0074017C" w:rsidRDefault="00B35709" w:rsidP="00DC10CD">
            <w:r w:rsidRPr="0074017C">
              <w:t>Ranitidine</w:t>
            </w:r>
          </w:p>
        </w:tc>
        <w:tc>
          <w:tcPr>
            <w:tcW w:w="745" w:type="pct"/>
            <w:shd w:val="clear" w:color="auto" w:fill="FFFFFF" w:themeFill="background1"/>
          </w:tcPr>
          <w:p w:rsidR="00B35709" w:rsidRPr="0074017C" w:rsidRDefault="00B35709" w:rsidP="00DC10CD">
            <w:r w:rsidRPr="0074017C">
              <w:t>Profarma</w:t>
            </w:r>
          </w:p>
        </w:tc>
        <w:tc>
          <w:tcPr>
            <w:tcW w:w="478" w:type="pct"/>
            <w:shd w:val="clear" w:color="auto" w:fill="FFFFFF" w:themeFill="background1"/>
          </w:tcPr>
          <w:p w:rsidR="00B35709" w:rsidRPr="0074017C" w:rsidRDefault="00B35709" w:rsidP="00DC10CD">
            <w:r w:rsidRPr="0074017C">
              <w:t>3,3</w:t>
            </w:r>
          </w:p>
        </w:tc>
        <w:tc>
          <w:tcPr>
            <w:tcW w:w="652" w:type="pct"/>
            <w:shd w:val="clear" w:color="auto" w:fill="FFFFFF" w:themeFill="background1"/>
          </w:tcPr>
          <w:p w:rsidR="00B35709" w:rsidRPr="0074017C" w:rsidRDefault="00B35709" w:rsidP="00DC10CD">
            <w:r w:rsidRPr="0074017C">
              <w:t>1,0</w:t>
            </w:r>
          </w:p>
        </w:tc>
        <w:tc>
          <w:tcPr>
            <w:tcW w:w="831" w:type="pct"/>
            <w:shd w:val="clear" w:color="auto" w:fill="FFFFFF" w:themeFill="background1"/>
          </w:tcPr>
          <w:p w:rsidR="00B35709" w:rsidRPr="0074017C" w:rsidRDefault="00B35709" w:rsidP="00DC10CD">
            <w:r w:rsidRPr="0074017C">
              <w:t>2,3</w:t>
            </w:r>
          </w:p>
        </w:tc>
      </w:tr>
      <w:tr w:rsidR="00B35709" w:rsidRPr="0074017C" w:rsidTr="0025100D">
        <w:tc>
          <w:tcPr>
            <w:tcW w:w="1091" w:type="pct"/>
            <w:shd w:val="clear" w:color="auto" w:fill="FFFFFF" w:themeFill="background1"/>
          </w:tcPr>
          <w:p w:rsidR="00B35709" w:rsidRPr="0074017C" w:rsidRDefault="00B35709" w:rsidP="00DC10CD">
            <w:r w:rsidRPr="0074017C">
              <w:t>Ranitidine 150 mg</w:t>
            </w:r>
          </w:p>
        </w:tc>
        <w:tc>
          <w:tcPr>
            <w:tcW w:w="458" w:type="pct"/>
            <w:shd w:val="clear" w:color="auto" w:fill="FFFFFF" w:themeFill="background1"/>
          </w:tcPr>
          <w:p w:rsidR="00B35709" w:rsidRPr="0074017C" w:rsidRDefault="00B35709" w:rsidP="00DC10CD">
            <w:r w:rsidRPr="0074017C">
              <w:t>tbl</w:t>
            </w:r>
          </w:p>
        </w:tc>
        <w:tc>
          <w:tcPr>
            <w:tcW w:w="745" w:type="pct"/>
            <w:shd w:val="clear" w:color="auto" w:fill="FFFFFF" w:themeFill="background1"/>
          </w:tcPr>
          <w:p w:rsidR="00B35709" w:rsidRPr="0074017C" w:rsidRDefault="00B35709" w:rsidP="00DC10CD">
            <w:r w:rsidRPr="0074017C">
              <w:t>Raniberl</w:t>
            </w:r>
          </w:p>
        </w:tc>
        <w:tc>
          <w:tcPr>
            <w:tcW w:w="745" w:type="pct"/>
            <w:shd w:val="clear" w:color="auto" w:fill="FFFFFF" w:themeFill="background1"/>
          </w:tcPr>
          <w:p w:rsidR="00B35709" w:rsidRPr="0074017C" w:rsidRDefault="00B35709" w:rsidP="00DC10CD">
            <w:r w:rsidRPr="0074017C">
              <w:t>Berlin Chemie</w:t>
            </w:r>
          </w:p>
        </w:tc>
        <w:tc>
          <w:tcPr>
            <w:tcW w:w="478" w:type="pct"/>
            <w:shd w:val="clear" w:color="auto" w:fill="FFFFFF" w:themeFill="background1"/>
          </w:tcPr>
          <w:p w:rsidR="00B35709" w:rsidRPr="0074017C" w:rsidRDefault="00B35709" w:rsidP="00DC10CD">
            <w:r w:rsidRPr="0074017C">
              <w:t>22,7</w:t>
            </w:r>
          </w:p>
        </w:tc>
        <w:tc>
          <w:tcPr>
            <w:tcW w:w="652" w:type="pct"/>
            <w:shd w:val="clear" w:color="auto" w:fill="FFFFFF" w:themeFill="background1"/>
          </w:tcPr>
          <w:p w:rsidR="00B35709" w:rsidRPr="0074017C" w:rsidRDefault="00B35709" w:rsidP="00DC10CD">
            <w:r w:rsidRPr="0074017C">
              <w:t>20,4</w:t>
            </w:r>
          </w:p>
        </w:tc>
        <w:tc>
          <w:tcPr>
            <w:tcW w:w="831" w:type="pct"/>
            <w:shd w:val="clear" w:color="auto" w:fill="FFFFFF" w:themeFill="background1"/>
          </w:tcPr>
          <w:p w:rsidR="00B35709" w:rsidRPr="0074017C" w:rsidRDefault="00B35709" w:rsidP="00DC10CD">
            <w:r w:rsidRPr="0074017C">
              <w:t>2,3</w:t>
            </w:r>
          </w:p>
        </w:tc>
      </w:tr>
      <w:tr w:rsidR="00B35709" w:rsidRPr="0074017C" w:rsidTr="0025100D">
        <w:tc>
          <w:tcPr>
            <w:tcW w:w="1091" w:type="pct"/>
            <w:shd w:val="clear" w:color="auto" w:fill="D9D9D9" w:themeFill="background1" w:themeFillShade="D9"/>
          </w:tcPr>
          <w:p w:rsidR="00B35709" w:rsidRPr="0074017C" w:rsidRDefault="00B35709" w:rsidP="00DC10CD">
            <w:r w:rsidRPr="0074017C">
              <w:t>Bicalutamide 50 mg</w:t>
            </w:r>
          </w:p>
        </w:tc>
        <w:tc>
          <w:tcPr>
            <w:tcW w:w="458" w:type="pct"/>
            <w:shd w:val="clear" w:color="auto" w:fill="D9D9D9" w:themeFill="background1" w:themeFillShade="D9"/>
          </w:tcPr>
          <w:p w:rsidR="00B35709" w:rsidRPr="0074017C" w:rsidRDefault="00B35709" w:rsidP="00DC10CD">
            <w:r w:rsidRPr="0074017C">
              <w:t>tbl</w:t>
            </w:r>
          </w:p>
        </w:tc>
        <w:tc>
          <w:tcPr>
            <w:tcW w:w="745" w:type="pct"/>
            <w:shd w:val="clear" w:color="auto" w:fill="D9D9D9" w:themeFill="background1" w:themeFillShade="D9"/>
          </w:tcPr>
          <w:p w:rsidR="00B35709" w:rsidRPr="0074017C" w:rsidRDefault="00B35709" w:rsidP="00DC10CD">
            <w:r w:rsidRPr="0074017C">
              <w:t>Casodex</w:t>
            </w:r>
          </w:p>
        </w:tc>
        <w:tc>
          <w:tcPr>
            <w:tcW w:w="745" w:type="pct"/>
            <w:shd w:val="clear" w:color="auto" w:fill="D9D9D9" w:themeFill="background1" w:themeFillShade="D9"/>
          </w:tcPr>
          <w:p w:rsidR="00B35709" w:rsidRPr="0074017C" w:rsidRDefault="00B35709" w:rsidP="00DC10CD">
            <w:r w:rsidRPr="0074017C">
              <w:t>Astra Zeneca</w:t>
            </w:r>
          </w:p>
        </w:tc>
        <w:tc>
          <w:tcPr>
            <w:tcW w:w="478" w:type="pct"/>
            <w:shd w:val="clear" w:color="auto" w:fill="D9D9D9" w:themeFill="background1" w:themeFillShade="D9"/>
          </w:tcPr>
          <w:p w:rsidR="00B35709" w:rsidRPr="0074017C" w:rsidRDefault="00B35709" w:rsidP="00DC10CD">
            <w:r w:rsidRPr="0074017C">
              <w:t>192,3</w:t>
            </w:r>
          </w:p>
        </w:tc>
        <w:tc>
          <w:tcPr>
            <w:tcW w:w="652" w:type="pct"/>
            <w:shd w:val="clear" w:color="auto" w:fill="D9D9D9" w:themeFill="background1" w:themeFillShade="D9"/>
          </w:tcPr>
          <w:p w:rsidR="00B35709" w:rsidRPr="0074017C" w:rsidRDefault="00B35709" w:rsidP="00DC10CD">
            <w:r w:rsidRPr="0074017C">
              <w:t>0,0</w:t>
            </w:r>
          </w:p>
        </w:tc>
        <w:tc>
          <w:tcPr>
            <w:tcW w:w="831" w:type="pct"/>
            <w:shd w:val="clear" w:color="auto" w:fill="D9D9D9" w:themeFill="background1" w:themeFillShade="D9"/>
          </w:tcPr>
          <w:p w:rsidR="00B35709" w:rsidRPr="0074017C" w:rsidRDefault="00B35709" w:rsidP="00DC10CD">
            <w:r w:rsidRPr="0074017C">
              <w:t>192,3</w:t>
            </w:r>
          </w:p>
        </w:tc>
      </w:tr>
      <w:tr w:rsidR="00B35709" w:rsidRPr="0074017C" w:rsidTr="0025100D">
        <w:tc>
          <w:tcPr>
            <w:tcW w:w="1091" w:type="pct"/>
            <w:shd w:val="clear" w:color="auto" w:fill="D9D9D9" w:themeFill="background1" w:themeFillShade="D9"/>
          </w:tcPr>
          <w:p w:rsidR="00B35709" w:rsidRPr="0074017C" w:rsidRDefault="00B35709" w:rsidP="00DC10CD">
            <w:r w:rsidRPr="0074017C">
              <w:t>Bicalutamide 50 mg</w:t>
            </w:r>
          </w:p>
        </w:tc>
        <w:tc>
          <w:tcPr>
            <w:tcW w:w="458" w:type="pct"/>
            <w:shd w:val="clear" w:color="auto" w:fill="D9D9D9" w:themeFill="background1" w:themeFillShade="D9"/>
          </w:tcPr>
          <w:p w:rsidR="00B35709" w:rsidRPr="0074017C" w:rsidRDefault="00B35709" w:rsidP="00DC10CD">
            <w:r w:rsidRPr="0074017C">
              <w:t>tbl</w:t>
            </w:r>
          </w:p>
        </w:tc>
        <w:tc>
          <w:tcPr>
            <w:tcW w:w="745" w:type="pct"/>
            <w:shd w:val="clear" w:color="auto" w:fill="D9D9D9" w:themeFill="background1" w:themeFillShade="D9"/>
          </w:tcPr>
          <w:p w:rsidR="00B35709" w:rsidRPr="0074017C" w:rsidRDefault="00B35709" w:rsidP="00DC10CD">
            <w:r w:rsidRPr="0074017C">
              <w:t>Bicaluta…</w:t>
            </w:r>
          </w:p>
        </w:tc>
        <w:tc>
          <w:tcPr>
            <w:tcW w:w="745" w:type="pct"/>
            <w:shd w:val="clear" w:color="auto" w:fill="D9D9D9" w:themeFill="background1" w:themeFillShade="D9"/>
          </w:tcPr>
          <w:p w:rsidR="00B35709" w:rsidRPr="0074017C" w:rsidRDefault="00B35709" w:rsidP="00DC10CD">
            <w:r w:rsidRPr="0074017C">
              <w:t>Accord Healthcare</w:t>
            </w:r>
          </w:p>
        </w:tc>
        <w:tc>
          <w:tcPr>
            <w:tcW w:w="478" w:type="pct"/>
            <w:shd w:val="clear" w:color="auto" w:fill="D9D9D9" w:themeFill="background1" w:themeFillShade="D9"/>
          </w:tcPr>
          <w:p w:rsidR="00B35709" w:rsidRPr="0074017C" w:rsidRDefault="00B35709" w:rsidP="00DC10CD">
            <w:r w:rsidRPr="0074017C">
              <w:t>446,6</w:t>
            </w:r>
          </w:p>
        </w:tc>
        <w:tc>
          <w:tcPr>
            <w:tcW w:w="652" w:type="pct"/>
            <w:shd w:val="clear" w:color="auto" w:fill="D9D9D9" w:themeFill="background1" w:themeFillShade="D9"/>
          </w:tcPr>
          <w:p w:rsidR="00B35709" w:rsidRPr="0074017C" w:rsidRDefault="00B35709" w:rsidP="00DC10CD">
            <w:r w:rsidRPr="0074017C">
              <w:t>254,3</w:t>
            </w:r>
          </w:p>
        </w:tc>
        <w:tc>
          <w:tcPr>
            <w:tcW w:w="831" w:type="pct"/>
            <w:shd w:val="clear" w:color="auto" w:fill="D9D9D9" w:themeFill="background1" w:themeFillShade="D9"/>
          </w:tcPr>
          <w:p w:rsidR="00B35709" w:rsidRPr="0074017C" w:rsidRDefault="00B35709" w:rsidP="00DC10CD">
            <w:r w:rsidRPr="0074017C">
              <w:t>192,3</w:t>
            </w:r>
          </w:p>
        </w:tc>
      </w:tr>
      <w:tr w:rsidR="00B35709" w:rsidRPr="0074017C" w:rsidTr="0025100D">
        <w:tc>
          <w:tcPr>
            <w:tcW w:w="1091" w:type="pct"/>
            <w:shd w:val="clear" w:color="auto" w:fill="FFFFFF" w:themeFill="background1"/>
          </w:tcPr>
          <w:p w:rsidR="00B35709" w:rsidRPr="0074017C" w:rsidRDefault="00B35709" w:rsidP="00DC10CD">
            <w:r w:rsidRPr="0074017C">
              <w:t>Ibuprofen 400 mg</w:t>
            </w:r>
          </w:p>
        </w:tc>
        <w:tc>
          <w:tcPr>
            <w:tcW w:w="458" w:type="pct"/>
            <w:shd w:val="clear" w:color="auto" w:fill="FFFFFF" w:themeFill="background1"/>
          </w:tcPr>
          <w:p w:rsidR="00B35709" w:rsidRPr="0074017C" w:rsidRDefault="00B35709" w:rsidP="00DC10CD">
            <w:r w:rsidRPr="0074017C">
              <w:t>tbl</w:t>
            </w:r>
          </w:p>
        </w:tc>
        <w:tc>
          <w:tcPr>
            <w:tcW w:w="745" w:type="pct"/>
            <w:shd w:val="clear" w:color="auto" w:fill="FFFFFF" w:themeFill="background1"/>
          </w:tcPr>
          <w:p w:rsidR="00B35709" w:rsidRPr="0074017C" w:rsidRDefault="00B35709" w:rsidP="00DC10CD">
            <w:r w:rsidRPr="0074017C">
              <w:t>Ibuprofen</w:t>
            </w:r>
          </w:p>
        </w:tc>
        <w:tc>
          <w:tcPr>
            <w:tcW w:w="745" w:type="pct"/>
            <w:shd w:val="clear" w:color="auto" w:fill="FFFFFF" w:themeFill="background1"/>
          </w:tcPr>
          <w:p w:rsidR="00B35709" w:rsidRPr="0074017C" w:rsidRDefault="00B35709" w:rsidP="00DC10CD">
            <w:r w:rsidRPr="0074017C">
              <w:t>Replekpharm</w:t>
            </w:r>
          </w:p>
        </w:tc>
        <w:tc>
          <w:tcPr>
            <w:tcW w:w="478" w:type="pct"/>
            <w:shd w:val="clear" w:color="auto" w:fill="FFFFFF" w:themeFill="background1"/>
          </w:tcPr>
          <w:p w:rsidR="00B35709" w:rsidRPr="0074017C" w:rsidRDefault="00B35709" w:rsidP="00DC10CD">
            <w:r w:rsidRPr="0074017C">
              <w:t>5,8</w:t>
            </w:r>
          </w:p>
        </w:tc>
        <w:tc>
          <w:tcPr>
            <w:tcW w:w="652" w:type="pct"/>
            <w:shd w:val="clear" w:color="auto" w:fill="FFFFFF" w:themeFill="background1"/>
          </w:tcPr>
          <w:p w:rsidR="00B35709" w:rsidRPr="0074017C" w:rsidRDefault="00B35709" w:rsidP="00DC10CD">
            <w:r w:rsidRPr="0074017C">
              <w:t>2,0</w:t>
            </w:r>
          </w:p>
        </w:tc>
        <w:tc>
          <w:tcPr>
            <w:tcW w:w="831" w:type="pct"/>
            <w:shd w:val="clear" w:color="auto" w:fill="FFFFFF" w:themeFill="background1"/>
          </w:tcPr>
          <w:p w:rsidR="00B35709" w:rsidRPr="0074017C" w:rsidRDefault="00B35709" w:rsidP="00DC10CD">
            <w:r w:rsidRPr="0074017C">
              <w:t>3,8</w:t>
            </w:r>
          </w:p>
        </w:tc>
      </w:tr>
      <w:tr w:rsidR="00B35709" w:rsidRPr="0074017C" w:rsidTr="0025100D">
        <w:tc>
          <w:tcPr>
            <w:tcW w:w="1091" w:type="pct"/>
            <w:shd w:val="clear" w:color="auto" w:fill="FFFFFF" w:themeFill="background1"/>
          </w:tcPr>
          <w:p w:rsidR="00B35709" w:rsidRPr="0074017C" w:rsidRDefault="00B35709" w:rsidP="00DC10CD">
            <w:r w:rsidRPr="0074017C">
              <w:t>Ibuprofen 400 mg</w:t>
            </w:r>
          </w:p>
        </w:tc>
        <w:tc>
          <w:tcPr>
            <w:tcW w:w="458" w:type="pct"/>
            <w:shd w:val="clear" w:color="auto" w:fill="FFFFFF" w:themeFill="background1"/>
          </w:tcPr>
          <w:p w:rsidR="00B35709" w:rsidRPr="0074017C" w:rsidRDefault="00B35709" w:rsidP="00DC10CD">
            <w:r w:rsidRPr="0074017C">
              <w:t>tbl</w:t>
            </w:r>
          </w:p>
        </w:tc>
        <w:tc>
          <w:tcPr>
            <w:tcW w:w="745" w:type="pct"/>
            <w:shd w:val="clear" w:color="auto" w:fill="FFFFFF" w:themeFill="background1"/>
          </w:tcPr>
          <w:p w:rsidR="00B35709" w:rsidRPr="0074017C" w:rsidRDefault="00B35709" w:rsidP="00DC10CD">
            <w:r w:rsidRPr="0074017C">
              <w:t>Brufen</w:t>
            </w:r>
          </w:p>
        </w:tc>
        <w:tc>
          <w:tcPr>
            <w:tcW w:w="745" w:type="pct"/>
            <w:shd w:val="clear" w:color="auto" w:fill="FFFFFF" w:themeFill="background1"/>
          </w:tcPr>
          <w:p w:rsidR="00B35709" w:rsidRPr="0074017C" w:rsidRDefault="00B35709" w:rsidP="00DC10CD">
            <w:r w:rsidRPr="0074017C">
              <w:t>Abbott</w:t>
            </w:r>
          </w:p>
        </w:tc>
        <w:tc>
          <w:tcPr>
            <w:tcW w:w="478" w:type="pct"/>
            <w:shd w:val="clear" w:color="auto" w:fill="FFFFFF" w:themeFill="background1"/>
          </w:tcPr>
          <w:p w:rsidR="00B35709" w:rsidRPr="0074017C" w:rsidRDefault="00B35709" w:rsidP="00DC10CD">
            <w:r w:rsidRPr="0074017C">
              <w:t>9,8</w:t>
            </w:r>
          </w:p>
        </w:tc>
        <w:tc>
          <w:tcPr>
            <w:tcW w:w="652" w:type="pct"/>
            <w:shd w:val="clear" w:color="auto" w:fill="FFFFFF" w:themeFill="background1"/>
          </w:tcPr>
          <w:p w:rsidR="00B35709" w:rsidRPr="0074017C" w:rsidRDefault="00B35709" w:rsidP="00DC10CD">
            <w:r w:rsidRPr="0074017C">
              <w:t>6,0</w:t>
            </w:r>
          </w:p>
        </w:tc>
        <w:tc>
          <w:tcPr>
            <w:tcW w:w="831" w:type="pct"/>
            <w:shd w:val="clear" w:color="auto" w:fill="FFFFFF" w:themeFill="background1"/>
          </w:tcPr>
          <w:p w:rsidR="00B35709" w:rsidRPr="0074017C" w:rsidRDefault="00B35709" w:rsidP="00DC10CD">
            <w:r w:rsidRPr="0074017C">
              <w:t>3,8</w:t>
            </w:r>
          </w:p>
        </w:tc>
      </w:tr>
      <w:tr w:rsidR="00B35709" w:rsidRPr="0074017C" w:rsidTr="0025100D">
        <w:tc>
          <w:tcPr>
            <w:tcW w:w="1091" w:type="pct"/>
            <w:shd w:val="clear" w:color="auto" w:fill="FFFFFF" w:themeFill="background1"/>
          </w:tcPr>
          <w:p w:rsidR="00B35709" w:rsidRPr="0074017C" w:rsidRDefault="00B35709" w:rsidP="00DC10CD">
            <w:r w:rsidRPr="0074017C">
              <w:t>Ibuprofen 400 mg</w:t>
            </w:r>
          </w:p>
        </w:tc>
        <w:tc>
          <w:tcPr>
            <w:tcW w:w="458" w:type="pct"/>
            <w:shd w:val="clear" w:color="auto" w:fill="FFFFFF" w:themeFill="background1"/>
          </w:tcPr>
          <w:p w:rsidR="00B35709" w:rsidRPr="0074017C" w:rsidRDefault="00B35709" w:rsidP="00DC10CD">
            <w:r w:rsidRPr="0074017C">
              <w:t>tbl</w:t>
            </w:r>
          </w:p>
        </w:tc>
        <w:tc>
          <w:tcPr>
            <w:tcW w:w="745" w:type="pct"/>
            <w:shd w:val="clear" w:color="auto" w:fill="FFFFFF" w:themeFill="background1"/>
          </w:tcPr>
          <w:p w:rsidR="00B35709" w:rsidRPr="0074017C" w:rsidRDefault="00B35709" w:rsidP="00DC10CD">
            <w:r w:rsidRPr="0074017C">
              <w:t>Eudorlin Extra</w:t>
            </w:r>
          </w:p>
        </w:tc>
        <w:tc>
          <w:tcPr>
            <w:tcW w:w="745" w:type="pct"/>
            <w:shd w:val="clear" w:color="auto" w:fill="FFFFFF" w:themeFill="background1"/>
          </w:tcPr>
          <w:p w:rsidR="00B35709" w:rsidRPr="0074017C" w:rsidRDefault="00B35709" w:rsidP="00DC10CD">
            <w:r w:rsidRPr="0074017C">
              <w:t>Berlin Chemie</w:t>
            </w:r>
          </w:p>
        </w:tc>
        <w:tc>
          <w:tcPr>
            <w:tcW w:w="478" w:type="pct"/>
            <w:shd w:val="clear" w:color="auto" w:fill="FFFFFF" w:themeFill="background1"/>
          </w:tcPr>
          <w:p w:rsidR="00B35709" w:rsidRPr="0074017C" w:rsidRDefault="00B35709" w:rsidP="00DC10CD">
            <w:r w:rsidRPr="0074017C">
              <w:t>37,6</w:t>
            </w:r>
          </w:p>
        </w:tc>
        <w:tc>
          <w:tcPr>
            <w:tcW w:w="652" w:type="pct"/>
            <w:shd w:val="clear" w:color="auto" w:fill="FFFFFF" w:themeFill="background1"/>
          </w:tcPr>
          <w:p w:rsidR="00B35709" w:rsidRPr="0074017C" w:rsidRDefault="00B35709" w:rsidP="00DC10CD">
            <w:r w:rsidRPr="0074017C">
              <w:t>33,8</w:t>
            </w:r>
          </w:p>
        </w:tc>
        <w:tc>
          <w:tcPr>
            <w:tcW w:w="831" w:type="pct"/>
            <w:shd w:val="clear" w:color="auto" w:fill="FFFFFF" w:themeFill="background1"/>
          </w:tcPr>
          <w:p w:rsidR="00B35709" w:rsidRPr="0074017C" w:rsidRDefault="00B35709" w:rsidP="00DC10CD">
            <w:r w:rsidRPr="0074017C">
              <w:t>3,8</w:t>
            </w:r>
          </w:p>
        </w:tc>
      </w:tr>
      <w:tr w:rsidR="00B35709" w:rsidRPr="0074017C" w:rsidTr="0025100D">
        <w:tc>
          <w:tcPr>
            <w:tcW w:w="1091" w:type="pct"/>
            <w:shd w:val="clear" w:color="auto" w:fill="D9D9D9" w:themeFill="background1" w:themeFillShade="D9"/>
          </w:tcPr>
          <w:p w:rsidR="00B35709" w:rsidRPr="0074017C" w:rsidRDefault="00B35709" w:rsidP="00DC10CD">
            <w:r w:rsidRPr="0074017C">
              <w:t>Risperidone 2 mg</w:t>
            </w:r>
          </w:p>
        </w:tc>
        <w:tc>
          <w:tcPr>
            <w:tcW w:w="458" w:type="pct"/>
            <w:shd w:val="clear" w:color="auto" w:fill="D9D9D9" w:themeFill="background1" w:themeFillShade="D9"/>
          </w:tcPr>
          <w:p w:rsidR="00B35709" w:rsidRPr="0074017C" w:rsidRDefault="00B35709" w:rsidP="00DC10CD">
            <w:r w:rsidRPr="0074017C">
              <w:t>tbl</w:t>
            </w:r>
          </w:p>
        </w:tc>
        <w:tc>
          <w:tcPr>
            <w:tcW w:w="745" w:type="pct"/>
            <w:shd w:val="clear" w:color="auto" w:fill="D9D9D9" w:themeFill="background1" w:themeFillShade="D9"/>
          </w:tcPr>
          <w:p w:rsidR="00B35709" w:rsidRPr="0074017C" w:rsidRDefault="00B35709" w:rsidP="00DC10CD">
            <w:r w:rsidRPr="0074017C">
              <w:t>Risset</w:t>
            </w:r>
          </w:p>
        </w:tc>
        <w:tc>
          <w:tcPr>
            <w:tcW w:w="745" w:type="pct"/>
            <w:shd w:val="clear" w:color="auto" w:fill="D9D9D9" w:themeFill="background1" w:themeFillShade="D9"/>
          </w:tcPr>
          <w:p w:rsidR="00B35709" w:rsidRPr="0074017C" w:rsidRDefault="00B35709" w:rsidP="00DC10CD">
            <w:r w:rsidRPr="0074017C">
              <w:t>Pliva</w:t>
            </w:r>
          </w:p>
        </w:tc>
        <w:tc>
          <w:tcPr>
            <w:tcW w:w="478" w:type="pct"/>
            <w:shd w:val="clear" w:color="auto" w:fill="D9D9D9" w:themeFill="background1" w:themeFillShade="D9"/>
          </w:tcPr>
          <w:p w:rsidR="00B35709" w:rsidRPr="0074017C" w:rsidRDefault="00B35709" w:rsidP="00DC10CD">
            <w:r w:rsidRPr="0074017C">
              <w:t>7,9</w:t>
            </w:r>
          </w:p>
        </w:tc>
        <w:tc>
          <w:tcPr>
            <w:tcW w:w="652" w:type="pct"/>
            <w:shd w:val="clear" w:color="auto" w:fill="D9D9D9" w:themeFill="background1" w:themeFillShade="D9"/>
          </w:tcPr>
          <w:p w:rsidR="00B35709" w:rsidRPr="0074017C" w:rsidRDefault="00B35709" w:rsidP="00DC10CD">
            <w:r w:rsidRPr="0074017C">
              <w:t>1,6</w:t>
            </w:r>
          </w:p>
        </w:tc>
        <w:tc>
          <w:tcPr>
            <w:tcW w:w="831" w:type="pct"/>
            <w:shd w:val="clear" w:color="auto" w:fill="D9D9D9" w:themeFill="background1" w:themeFillShade="D9"/>
          </w:tcPr>
          <w:p w:rsidR="00B35709" w:rsidRPr="0074017C" w:rsidRDefault="00B35709" w:rsidP="00DC10CD">
            <w:r w:rsidRPr="0074017C">
              <w:t>6,3</w:t>
            </w:r>
          </w:p>
        </w:tc>
      </w:tr>
      <w:tr w:rsidR="00B35709" w:rsidRPr="0074017C" w:rsidTr="0025100D">
        <w:tc>
          <w:tcPr>
            <w:tcW w:w="1091" w:type="pct"/>
            <w:shd w:val="clear" w:color="auto" w:fill="D9D9D9" w:themeFill="background1" w:themeFillShade="D9"/>
          </w:tcPr>
          <w:p w:rsidR="00B35709" w:rsidRPr="0074017C" w:rsidRDefault="00B35709" w:rsidP="00DC10CD">
            <w:r w:rsidRPr="0074017C">
              <w:t>Risperidone 2 mg</w:t>
            </w:r>
          </w:p>
        </w:tc>
        <w:tc>
          <w:tcPr>
            <w:tcW w:w="458" w:type="pct"/>
            <w:shd w:val="clear" w:color="auto" w:fill="D9D9D9" w:themeFill="background1" w:themeFillShade="D9"/>
          </w:tcPr>
          <w:p w:rsidR="00B35709" w:rsidRPr="0074017C" w:rsidRDefault="00B35709" w:rsidP="00DC10CD">
            <w:r w:rsidRPr="0074017C">
              <w:t>tbl</w:t>
            </w:r>
          </w:p>
        </w:tc>
        <w:tc>
          <w:tcPr>
            <w:tcW w:w="745" w:type="pct"/>
            <w:shd w:val="clear" w:color="auto" w:fill="D9D9D9" w:themeFill="background1" w:themeFillShade="D9"/>
          </w:tcPr>
          <w:p w:rsidR="00B35709" w:rsidRPr="0074017C" w:rsidRDefault="00B35709" w:rsidP="00DC10CD">
            <w:r w:rsidRPr="0074017C">
              <w:t>Rispolept</w:t>
            </w:r>
          </w:p>
        </w:tc>
        <w:tc>
          <w:tcPr>
            <w:tcW w:w="745" w:type="pct"/>
            <w:shd w:val="clear" w:color="auto" w:fill="D9D9D9" w:themeFill="background1" w:themeFillShade="D9"/>
          </w:tcPr>
          <w:p w:rsidR="00B35709" w:rsidRPr="0074017C" w:rsidRDefault="00B35709" w:rsidP="00DC10CD">
            <w:r w:rsidRPr="0074017C">
              <w:t>Janssen - Cilag</w:t>
            </w:r>
          </w:p>
        </w:tc>
        <w:tc>
          <w:tcPr>
            <w:tcW w:w="478" w:type="pct"/>
            <w:shd w:val="clear" w:color="auto" w:fill="D9D9D9" w:themeFill="background1" w:themeFillShade="D9"/>
          </w:tcPr>
          <w:p w:rsidR="00B35709" w:rsidRPr="0074017C" w:rsidRDefault="00B35709" w:rsidP="00DC10CD">
            <w:r w:rsidRPr="0074017C">
              <w:t>119,1</w:t>
            </w:r>
          </w:p>
        </w:tc>
        <w:tc>
          <w:tcPr>
            <w:tcW w:w="652" w:type="pct"/>
            <w:shd w:val="clear" w:color="auto" w:fill="D9D9D9" w:themeFill="background1" w:themeFillShade="D9"/>
          </w:tcPr>
          <w:p w:rsidR="00B35709" w:rsidRPr="0074017C" w:rsidRDefault="00B35709" w:rsidP="00DC10CD">
            <w:r w:rsidRPr="0074017C">
              <w:t>112,8</w:t>
            </w:r>
          </w:p>
        </w:tc>
        <w:tc>
          <w:tcPr>
            <w:tcW w:w="831" w:type="pct"/>
            <w:shd w:val="clear" w:color="auto" w:fill="D9D9D9" w:themeFill="background1" w:themeFillShade="D9"/>
          </w:tcPr>
          <w:p w:rsidR="00B35709" w:rsidRPr="0074017C" w:rsidRDefault="00B35709" w:rsidP="00DC10CD">
            <w:r w:rsidRPr="0074017C">
              <w:t>6,3</w:t>
            </w:r>
          </w:p>
        </w:tc>
      </w:tr>
      <w:tr w:rsidR="0025100D" w:rsidRPr="0074017C" w:rsidTr="0025100D">
        <w:tc>
          <w:tcPr>
            <w:tcW w:w="1091" w:type="pct"/>
            <w:shd w:val="clear" w:color="auto" w:fill="auto"/>
          </w:tcPr>
          <w:p w:rsidR="0025100D" w:rsidRPr="0074017C" w:rsidRDefault="00312CCE" w:rsidP="00DC10CD">
            <w:r w:rsidRPr="0074017C">
              <w:t>Capecitabin 150mg</w:t>
            </w:r>
          </w:p>
        </w:tc>
        <w:tc>
          <w:tcPr>
            <w:tcW w:w="458" w:type="pct"/>
            <w:shd w:val="clear" w:color="auto" w:fill="auto"/>
          </w:tcPr>
          <w:p w:rsidR="0025100D" w:rsidRPr="0074017C" w:rsidRDefault="00312CCE" w:rsidP="00DC10CD">
            <w:r w:rsidRPr="0074017C">
              <w:t>tbl</w:t>
            </w:r>
          </w:p>
        </w:tc>
        <w:tc>
          <w:tcPr>
            <w:tcW w:w="745" w:type="pct"/>
            <w:shd w:val="clear" w:color="auto" w:fill="auto"/>
          </w:tcPr>
          <w:p w:rsidR="0025100D" w:rsidRPr="0074017C" w:rsidRDefault="0025100D" w:rsidP="00DC10CD">
            <w:r w:rsidRPr="0074017C">
              <w:t>Xeloda</w:t>
            </w:r>
          </w:p>
        </w:tc>
        <w:tc>
          <w:tcPr>
            <w:tcW w:w="745" w:type="pct"/>
            <w:shd w:val="clear" w:color="auto" w:fill="auto"/>
          </w:tcPr>
          <w:p w:rsidR="0025100D" w:rsidRPr="0074017C" w:rsidRDefault="00312CCE" w:rsidP="00DC10CD">
            <w:r w:rsidRPr="0074017C">
              <w:t>Roche</w:t>
            </w:r>
          </w:p>
        </w:tc>
        <w:tc>
          <w:tcPr>
            <w:tcW w:w="478" w:type="pct"/>
            <w:shd w:val="clear" w:color="auto" w:fill="auto"/>
          </w:tcPr>
          <w:p w:rsidR="0025100D" w:rsidRPr="0074017C" w:rsidRDefault="00312CCE" w:rsidP="00DC10CD">
            <w:r w:rsidRPr="0074017C">
              <w:t>96,20</w:t>
            </w:r>
          </w:p>
        </w:tc>
        <w:tc>
          <w:tcPr>
            <w:tcW w:w="652" w:type="pct"/>
            <w:shd w:val="clear" w:color="auto" w:fill="auto"/>
          </w:tcPr>
          <w:p w:rsidR="0025100D" w:rsidRPr="0074017C" w:rsidRDefault="00312CCE" w:rsidP="00DC10CD">
            <w:r w:rsidRPr="0074017C">
              <w:t>0</w:t>
            </w:r>
          </w:p>
        </w:tc>
        <w:tc>
          <w:tcPr>
            <w:tcW w:w="831" w:type="pct"/>
            <w:shd w:val="clear" w:color="auto" w:fill="auto"/>
          </w:tcPr>
          <w:p w:rsidR="0025100D" w:rsidRPr="0074017C" w:rsidRDefault="00312CCE" w:rsidP="00DC10CD">
            <w:r w:rsidRPr="0074017C">
              <w:t>96,2</w:t>
            </w:r>
          </w:p>
        </w:tc>
      </w:tr>
      <w:tr w:rsidR="00312CCE" w:rsidRPr="0074017C" w:rsidTr="0025100D">
        <w:tc>
          <w:tcPr>
            <w:tcW w:w="1091" w:type="pct"/>
            <w:shd w:val="clear" w:color="auto" w:fill="auto"/>
          </w:tcPr>
          <w:p w:rsidR="00312CCE" w:rsidRPr="0074017C" w:rsidRDefault="00312CCE" w:rsidP="00DC10CD">
            <w:r w:rsidRPr="0074017C">
              <w:t>Capecitabin 150mg</w:t>
            </w:r>
          </w:p>
        </w:tc>
        <w:tc>
          <w:tcPr>
            <w:tcW w:w="458" w:type="pct"/>
            <w:shd w:val="clear" w:color="auto" w:fill="auto"/>
          </w:tcPr>
          <w:p w:rsidR="00312CCE" w:rsidRPr="0074017C" w:rsidRDefault="00312CCE" w:rsidP="00DC10CD">
            <w:r w:rsidRPr="0074017C">
              <w:t>tbl</w:t>
            </w:r>
          </w:p>
        </w:tc>
        <w:tc>
          <w:tcPr>
            <w:tcW w:w="745" w:type="pct"/>
            <w:shd w:val="clear" w:color="auto" w:fill="auto"/>
          </w:tcPr>
          <w:p w:rsidR="00312CCE" w:rsidRPr="0074017C" w:rsidRDefault="00312CCE" w:rsidP="00DC10CD">
            <w:r w:rsidRPr="0074017C">
              <w:t>Xalvobin</w:t>
            </w:r>
          </w:p>
        </w:tc>
        <w:tc>
          <w:tcPr>
            <w:tcW w:w="745" w:type="pct"/>
            <w:shd w:val="clear" w:color="auto" w:fill="auto"/>
          </w:tcPr>
          <w:p w:rsidR="00312CCE" w:rsidRPr="0074017C" w:rsidRDefault="00312CCE" w:rsidP="00DC10CD">
            <w:r w:rsidRPr="0074017C">
              <w:t>Alvogen</w:t>
            </w:r>
          </w:p>
        </w:tc>
        <w:tc>
          <w:tcPr>
            <w:tcW w:w="478" w:type="pct"/>
            <w:shd w:val="clear" w:color="auto" w:fill="auto"/>
          </w:tcPr>
          <w:p w:rsidR="00312CCE" w:rsidRPr="0074017C" w:rsidRDefault="00312CCE" w:rsidP="00DC10CD">
            <w:r w:rsidRPr="0074017C">
              <w:t>246,60</w:t>
            </w:r>
          </w:p>
        </w:tc>
        <w:tc>
          <w:tcPr>
            <w:tcW w:w="652" w:type="pct"/>
            <w:shd w:val="clear" w:color="auto" w:fill="auto"/>
          </w:tcPr>
          <w:p w:rsidR="00312CCE" w:rsidRPr="0074017C" w:rsidRDefault="00312CCE" w:rsidP="00DC10CD">
            <w:r w:rsidRPr="0074017C">
              <w:t>150,40</w:t>
            </w:r>
          </w:p>
        </w:tc>
        <w:tc>
          <w:tcPr>
            <w:tcW w:w="831" w:type="pct"/>
            <w:shd w:val="clear" w:color="auto" w:fill="auto"/>
          </w:tcPr>
          <w:p w:rsidR="00312CCE" w:rsidRPr="0074017C" w:rsidRDefault="00312CCE" w:rsidP="00DC10CD">
            <w:r w:rsidRPr="0074017C">
              <w:t>96,2</w:t>
            </w:r>
          </w:p>
        </w:tc>
      </w:tr>
    </w:tbl>
    <w:p w:rsidR="0025100D" w:rsidRPr="0074017C" w:rsidRDefault="0025100D" w:rsidP="00DC10CD">
      <w:pPr>
        <w:spacing w:after="0" w:line="240" w:lineRule="auto"/>
        <w:jc w:val="both"/>
      </w:pPr>
    </w:p>
    <w:p w:rsidR="00AC5115" w:rsidRPr="0074017C" w:rsidRDefault="008C3A73" w:rsidP="00DC10CD">
      <w:pPr>
        <w:spacing w:after="0" w:line="240" w:lineRule="auto"/>
        <w:jc w:val="both"/>
      </w:pPr>
      <w:r w:rsidRPr="0074017C">
        <w:t xml:space="preserve">This could imply several improper behaviors in the system – financial stimuli for </w:t>
      </w:r>
      <w:r w:rsidR="00960DA3" w:rsidRPr="0074017C">
        <w:t>specialists who recommen</w:t>
      </w:r>
      <w:r w:rsidR="00CD67F4" w:rsidRPr="0074017C">
        <w:t>d specific products to patients as well as</w:t>
      </w:r>
      <w:r w:rsidRPr="0074017C">
        <w:t>prescribers</w:t>
      </w:r>
      <w:r w:rsidR="00960DA3" w:rsidRPr="0074017C">
        <w:t xml:space="preserve"> and </w:t>
      </w:r>
      <w:r w:rsidRPr="0074017C">
        <w:t xml:space="preserve">dispensers and/or general lack of trust in the state’s capability to assure </w:t>
      </w:r>
      <w:r w:rsidR="00960DA3" w:rsidRPr="0074017C">
        <w:t>high</w:t>
      </w:r>
      <w:r w:rsidRPr="0074017C">
        <w:t xml:space="preserve"> quality products in the market. </w:t>
      </w:r>
      <w:r w:rsidR="00312CCE" w:rsidRPr="0074017C">
        <w:t xml:space="preserve">In either case, patients spend out of pocket unnecessarily. </w:t>
      </w:r>
      <w:r w:rsidR="0060319C" w:rsidRPr="0074017C">
        <w:t>More expensive copies are commonly if not p</w:t>
      </w:r>
      <w:r w:rsidR="00D076D5" w:rsidRPr="0074017C">
        <w:t>redominantly dispensed. Table 12</w:t>
      </w:r>
      <w:r w:rsidR="0060319C" w:rsidRPr="0074017C">
        <w:t xml:space="preserve"> lists the HIF’s expenditure</w:t>
      </w:r>
      <w:r w:rsidR="00DC2247" w:rsidRPr="0074017C">
        <w:t xml:space="preserve"> in 2013 in L</w:t>
      </w:r>
      <w:r w:rsidR="003A0112" w:rsidRPr="0074017C">
        <w:t>ek</w:t>
      </w:r>
      <w:r w:rsidR="0060319C" w:rsidRPr="0074017C">
        <w:t xml:space="preserve"> on cheapest versions compared to </w:t>
      </w:r>
      <w:r w:rsidR="003A0112" w:rsidRPr="0074017C">
        <w:t xml:space="preserve">expenditure on all </w:t>
      </w:r>
      <w:r w:rsidR="0060319C" w:rsidRPr="0074017C">
        <w:t>INN of same concentration for selected widely used products.</w:t>
      </w:r>
    </w:p>
    <w:p w:rsidR="0060319C" w:rsidRPr="0074017C" w:rsidRDefault="00D076D5" w:rsidP="00DC10CD">
      <w:pPr>
        <w:spacing w:after="0" w:line="240" w:lineRule="auto"/>
        <w:jc w:val="both"/>
      </w:pPr>
      <w:r w:rsidRPr="0074017C">
        <w:lastRenderedPageBreak/>
        <w:t>Table 12</w:t>
      </w:r>
      <w:r w:rsidR="0025617C" w:rsidRPr="0074017C">
        <w:t xml:space="preserve"> –</w:t>
      </w:r>
      <w:r w:rsidR="00A93829" w:rsidRPr="0074017C">
        <w:t xml:space="preserve"> HIF’s expenditure in 2013 in Lek on cheapest versions compared to expenditure on all INN of same concentration for selected widely used products</w:t>
      </w:r>
    </w:p>
    <w:tbl>
      <w:tblPr>
        <w:tblStyle w:val="TableGrid"/>
        <w:tblW w:w="5000" w:type="pct"/>
        <w:tblLook w:val="04A0"/>
      </w:tblPr>
      <w:tblGrid>
        <w:gridCol w:w="1621"/>
        <w:gridCol w:w="1620"/>
        <w:gridCol w:w="1507"/>
        <w:gridCol w:w="2767"/>
        <w:gridCol w:w="2061"/>
      </w:tblGrid>
      <w:tr w:rsidR="0025617C" w:rsidRPr="0074017C" w:rsidTr="0025617C">
        <w:trPr>
          <w:trHeight w:val="260"/>
        </w:trPr>
        <w:tc>
          <w:tcPr>
            <w:tcW w:w="1692" w:type="pct"/>
            <w:gridSpan w:val="2"/>
            <w:noWrap/>
            <w:hideMark/>
          </w:tcPr>
          <w:p w:rsidR="0025617C" w:rsidRPr="0074017C" w:rsidRDefault="0025617C" w:rsidP="0025617C">
            <w:r w:rsidRPr="0074017C">
              <w:t>Enalapril 20 mg</w:t>
            </w:r>
          </w:p>
        </w:tc>
        <w:tc>
          <w:tcPr>
            <w:tcW w:w="787" w:type="pct"/>
            <w:noWrap/>
            <w:hideMark/>
          </w:tcPr>
          <w:p w:rsidR="0025617C" w:rsidRPr="0074017C" w:rsidRDefault="0025617C" w:rsidP="001755BF">
            <w:r w:rsidRPr="0074017C">
              <w:t>tabl.</w:t>
            </w:r>
          </w:p>
        </w:tc>
        <w:tc>
          <w:tcPr>
            <w:tcW w:w="1445" w:type="pct"/>
            <w:noWrap/>
          </w:tcPr>
          <w:p w:rsidR="0025617C" w:rsidRPr="0074017C" w:rsidRDefault="0025617C" w:rsidP="001755BF">
            <w:r w:rsidRPr="0074017C">
              <w:t>Profarma</w:t>
            </w:r>
          </w:p>
        </w:tc>
        <w:tc>
          <w:tcPr>
            <w:tcW w:w="1076" w:type="pct"/>
            <w:noWrap/>
          </w:tcPr>
          <w:p w:rsidR="0025617C" w:rsidRPr="0074017C" w:rsidRDefault="0025617C" w:rsidP="001755BF">
            <w:r w:rsidRPr="0074017C">
              <w:t>41.943.774</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20 mg enalaprils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95.809.179</w:t>
            </w:r>
          </w:p>
        </w:tc>
      </w:tr>
      <w:tr w:rsidR="0025617C" w:rsidRPr="0074017C" w:rsidTr="0025617C">
        <w:trPr>
          <w:trHeight w:val="260"/>
        </w:trPr>
        <w:tc>
          <w:tcPr>
            <w:tcW w:w="846" w:type="pct"/>
            <w:noWrap/>
            <w:hideMark/>
          </w:tcPr>
          <w:p w:rsidR="0025617C" w:rsidRPr="0074017C" w:rsidRDefault="0025617C" w:rsidP="001755BF">
            <w:pPr>
              <w:rPr>
                <w:b/>
                <w:bCs/>
              </w:rPr>
            </w:pPr>
          </w:p>
        </w:tc>
        <w:tc>
          <w:tcPr>
            <w:tcW w:w="846" w:type="pct"/>
            <w:noWrap/>
            <w:hideMark/>
          </w:tcPr>
          <w:p w:rsidR="0025617C" w:rsidRPr="0074017C" w:rsidRDefault="0025617C" w:rsidP="001755BF"/>
        </w:tc>
        <w:tc>
          <w:tcPr>
            <w:tcW w:w="787" w:type="pct"/>
            <w:noWrap/>
            <w:hideMark/>
          </w:tcPr>
          <w:p w:rsidR="0025617C" w:rsidRPr="0074017C" w:rsidRDefault="0025617C" w:rsidP="001755BF"/>
        </w:tc>
        <w:tc>
          <w:tcPr>
            <w:tcW w:w="1445" w:type="pct"/>
            <w:noWrap/>
            <w:hideMark/>
          </w:tcPr>
          <w:p w:rsidR="0025617C" w:rsidRPr="0074017C" w:rsidRDefault="0025617C" w:rsidP="001755BF"/>
        </w:tc>
        <w:tc>
          <w:tcPr>
            <w:tcW w:w="1076" w:type="pct"/>
            <w:noWrap/>
            <w:hideMark/>
          </w:tcPr>
          <w:p w:rsidR="0025617C" w:rsidRPr="0074017C" w:rsidRDefault="0025617C" w:rsidP="001755BF"/>
        </w:tc>
      </w:tr>
      <w:tr w:rsidR="0025617C" w:rsidRPr="0074017C" w:rsidTr="0025617C">
        <w:trPr>
          <w:trHeight w:val="260"/>
        </w:trPr>
        <w:tc>
          <w:tcPr>
            <w:tcW w:w="1692" w:type="pct"/>
            <w:gridSpan w:val="2"/>
            <w:noWrap/>
            <w:hideMark/>
          </w:tcPr>
          <w:p w:rsidR="0025617C" w:rsidRPr="0074017C" w:rsidRDefault="0025617C" w:rsidP="0025617C">
            <w:r w:rsidRPr="0074017C">
              <w:t xml:space="preserve">Irbesartan 150mg </w:t>
            </w:r>
          </w:p>
        </w:tc>
        <w:tc>
          <w:tcPr>
            <w:tcW w:w="787" w:type="pct"/>
            <w:noWrap/>
            <w:hideMark/>
          </w:tcPr>
          <w:p w:rsidR="0025617C" w:rsidRPr="0074017C" w:rsidRDefault="0025617C" w:rsidP="001755BF">
            <w:r w:rsidRPr="0074017C">
              <w:t>tabl.</w:t>
            </w:r>
          </w:p>
        </w:tc>
        <w:tc>
          <w:tcPr>
            <w:tcW w:w="1445" w:type="pct"/>
            <w:noWrap/>
            <w:hideMark/>
          </w:tcPr>
          <w:p w:rsidR="0025617C" w:rsidRPr="0074017C" w:rsidRDefault="0025617C" w:rsidP="0025617C">
            <w:r w:rsidRPr="0074017C">
              <w:t>Nobel Ilac</w:t>
            </w:r>
          </w:p>
        </w:tc>
        <w:tc>
          <w:tcPr>
            <w:tcW w:w="1076" w:type="pct"/>
            <w:noWrap/>
            <w:hideMark/>
          </w:tcPr>
          <w:p w:rsidR="0025617C" w:rsidRPr="0074017C" w:rsidRDefault="0025617C" w:rsidP="001755BF">
            <w:r w:rsidRPr="0074017C">
              <w:t>4.116.736</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150 mg ibersartans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29.602.079</w:t>
            </w:r>
          </w:p>
        </w:tc>
      </w:tr>
      <w:tr w:rsidR="0025617C" w:rsidRPr="0074017C" w:rsidTr="0025617C">
        <w:trPr>
          <w:trHeight w:val="260"/>
        </w:trPr>
        <w:tc>
          <w:tcPr>
            <w:tcW w:w="846" w:type="pct"/>
            <w:noWrap/>
            <w:hideMark/>
          </w:tcPr>
          <w:p w:rsidR="0025617C" w:rsidRPr="0074017C" w:rsidRDefault="0025617C" w:rsidP="001755BF">
            <w:pPr>
              <w:rPr>
                <w:b/>
                <w:bCs/>
              </w:rPr>
            </w:pPr>
          </w:p>
        </w:tc>
        <w:tc>
          <w:tcPr>
            <w:tcW w:w="846" w:type="pct"/>
            <w:noWrap/>
            <w:hideMark/>
          </w:tcPr>
          <w:p w:rsidR="0025617C" w:rsidRPr="0074017C" w:rsidRDefault="0025617C" w:rsidP="001755BF"/>
        </w:tc>
        <w:tc>
          <w:tcPr>
            <w:tcW w:w="787" w:type="pct"/>
            <w:noWrap/>
            <w:hideMark/>
          </w:tcPr>
          <w:p w:rsidR="0025617C" w:rsidRPr="0074017C" w:rsidRDefault="0025617C" w:rsidP="001755BF"/>
        </w:tc>
        <w:tc>
          <w:tcPr>
            <w:tcW w:w="1445" w:type="pct"/>
            <w:noWrap/>
            <w:hideMark/>
          </w:tcPr>
          <w:p w:rsidR="0025617C" w:rsidRPr="0074017C" w:rsidRDefault="0025617C" w:rsidP="001755BF"/>
        </w:tc>
        <w:tc>
          <w:tcPr>
            <w:tcW w:w="1076" w:type="pct"/>
            <w:noWrap/>
            <w:hideMark/>
          </w:tcPr>
          <w:p w:rsidR="0025617C" w:rsidRPr="0074017C" w:rsidRDefault="0025617C" w:rsidP="001755BF"/>
        </w:tc>
      </w:tr>
      <w:tr w:rsidR="0025617C" w:rsidRPr="0074017C" w:rsidTr="0025617C">
        <w:trPr>
          <w:trHeight w:val="260"/>
        </w:trPr>
        <w:tc>
          <w:tcPr>
            <w:tcW w:w="1692" w:type="pct"/>
            <w:gridSpan w:val="2"/>
            <w:noWrap/>
            <w:hideMark/>
          </w:tcPr>
          <w:p w:rsidR="0025617C" w:rsidRPr="0074017C" w:rsidRDefault="0025617C" w:rsidP="0025617C">
            <w:r w:rsidRPr="0074017C">
              <w:t xml:space="preserve">Irbesartan 300mg </w:t>
            </w:r>
          </w:p>
        </w:tc>
        <w:tc>
          <w:tcPr>
            <w:tcW w:w="787" w:type="pct"/>
            <w:noWrap/>
            <w:hideMark/>
          </w:tcPr>
          <w:p w:rsidR="0025617C" w:rsidRPr="0074017C" w:rsidRDefault="0025617C" w:rsidP="001755BF">
            <w:r w:rsidRPr="0074017C">
              <w:t>tabl.</w:t>
            </w:r>
          </w:p>
        </w:tc>
        <w:tc>
          <w:tcPr>
            <w:tcW w:w="1445" w:type="pct"/>
            <w:noWrap/>
            <w:hideMark/>
          </w:tcPr>
          <w:p w:rsidR="0025617C" w:rsidRPr="0074017C" w:rsidRDefault="0025617C" w:rsidP="001755BF">
            <w:r w:rsidRPr="0074017C">
              <w:t>Nobel Ilac</w:t>
            </w:r>
          </w:p>
        </w:tc>
        <w:tc>
          <w:tcPr>
            <w:tcW w:w="1076" w:type="pct"/>
            <w:noWrap/>
            <w:hideMark/>
          </w:tcPr>
          <w:p w:rsidR="0025617C" w:rsidRPr="0074017C" w:rsidRDefault="0025617C" w:rsidP="0025617C">
            <w:r w:rsidRPr="0074017C">
              <w:t>6.989.960</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300 mg ibersartans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31.115.870</w:t>
            </w:r>
          </w:p>
        </w:tc>
      </w:tr>
      <w:tr w:rsidR="0025617C" w:rsidRPr="0074017C" w:rsidTr="0025617C">
        <w:trPr>
          <w:trHeight w:val="260"/>
        </w:trPr>
        <w:tc>
          <w:tcPr>
            <w:tcW w:w="846" w:type="pct"/>
            <w:noWrap/>
            <w:hideMark/>
          </w:tcPr>
          <w:p w:rsidR="0025617C" w:rsidRPr="0074017C" w:rsidRDefault="0025617C" w:rsidP="001755BF">
            <w:pPr>
              <w:rPr>
                <w:b/>
                <w:bCs/>
              </w:rPr>
            </w:pPr>
          </w:p>
        </w:tc>
        <w:tc>
          <w:tcPr>
            <w:tcW w:w="846" w:type="pct"/>
            <w:noWrap/>
            <w:hideMark/>
          </w:tcPr>
          <w:p w:rsidR="0025617C" w:rsidRPr="0074017C" w:rsidRDefault="0025617C" w:rsidP="001755BF"/>
        </w:tc>
        <w:tc>
          <w:tcPr>
            <w:tcW w:w="787" w:type="pct"/>
            <w:noWrap/>
            <w:hideMark/>
          </w:tcPr>
          <w:p w:rsidR="0025617C" w:rsidRPr="0074017C" w:rsidRDefault="0025617C" w:rsidP="001755BF"/>
        </w:tc>
        <w:tc>
          <w:tcPr>
            <w:tcW w:w="1445" w:type="pct"/>
            <w:noWrap/>
            <w:hideMark/>
          </w:tcPr>
          <w:p w:rsidR="0025617C" w:rsidRPr="0074017C" w:rsidRDefault="0025617C" w:rsidP="001755BF"/>
        </w:tc>
        <w:tc>
          <w:tcPr>
            <w:tcW w:w="1076" w:type="pct"/>
            <w:noWrap/>
            <w:hideMark/>
          </w:tcPr>
          <w:p w:rsidR="0025617C" w:rsidRPr="0074017C" w:rsidRDefault="0025617C" w:rsidP="001755BF"/>
        </w:tc>
      </w:tr>
      <w:tr w:rsidR="0025617C" w:rsidRPr="0074017C" w:rsidTr="0025617C">
        <w:trPr>
          <w:trHeight w:val="260"/>
        </w:trPr>
        <w:tc>
          <w:tcPr>
            <w:tcW w:w="1692" w:type="pct"/>
            <w:gridSpan w:val="2"/>
            <w:noWrap/>
            <w:hideMark/>
          </w:tcPr>
          <w:p w:rsidR="0025617C" w:rsidRPr="0074017C" w:rsidRDefault="0025617C" w:rsidP="001755BF">
            <w:r w:rsidRPr="0074017C">
              <w:t>Hydrochlortiazid 25 mg</w:t>
            </w:r>
          </w:p>
        </w:tc>
        <w:tc>
          <w:tcPr>
            <w:tcW w:w="787" w:type="pct"/>
            <w:noWrap/>
            <w:hideMark/>
          </w:tcPr>
          <w:p w:rsidR="0025617C" w:rsidRPr="0074017C" w:rsidRDefault="0025617C" w:rsidP="001755BF">
            <w:r w:rsidRPr="0074017C">
              <w:t>tabl.</w:t>
            </w:r>
          </w:p>
        </w:tc>
        <w:tc>
          <w:tcPr>
            <w:tcW w:w="1445" w:type="pct"/>
            <w:noWrap/>
            <w:hideMark/>
          </w:tcPr>
          <w:p w:rsidR="0025617C" w:rsidRPr="0074017C" w:rsidRDefault="0025617C" w:rsidP="001755BF">
            <w:r w:rsidRPr="0074017C">
              <w:t>Profarma</w:t>
            </w:r>
          </w:p>
        </w:tc>
        <w:tc>
          <w:tcPr>
            <w:tcW w:w="1076" w:type="pct"/>
            <w:noWrap/>
            <w:hideMark/>
          </w:tcPr>
          <w:p w:rsidR="0025617C" w:rsidRPr="0074017C" w:rsidRDefault="0025617C" w:rsidP="001755BF">
            <w:r w:rsidRPr="0074017C">
              <w:t>72.384.293</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25 mg hydochlortiazids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103.015.786</w:t>
            </w:r>
          </w:p>
        </w:tc>
      </w:tr>
      <w:tr w:rsidR="0025617C" w:rsidRPr="0074017C" w:rsidTr="0025617C">
        <w:trPr>
          <w:trHeight w:val="260"/>
        </w:trPr>
        <w:tc>
          <w:tcPr>
            <w:tcW w:w="846" w:type="pct"/>
            <w:noWrap/>
            <w:hideMark/>
          </w:tcPr>
          <w:p w:rsidR="0025617C" w:rsidRPr="0074017C" w:rsidRDefault="0025617C" w:rsidP="001755BF">
            <w:pPr>
              <w:rPr>
                <w:b/>
                <w:bCs/>
              </w:rPr>
            </w:pPr>
          </w:p>
        </w:tc>
        <w:tc>
          <w:tcPr>
            <w:tcW w:w="846" w:type="pct"/>
            <w:noWrap/>
            <w:hideMark/>
          </w:tcPr>
          <w:p w:rsidR="0025617C" w:rsidRPr="0074017C" w:rsidRDefault="0025617C" w:rsidP="001755BF"/>
        </w:tc>
        <w:tc>
          <w:tcPr>
            <w:tcW w:w="787" w:type="pct"/>
            <w:noWrap/>
            <w:hideMark/>
          </w:tcPr>
          <w:p w:rsidR="0025617C" w:rsidRPr="0074017C" w:rsidRDefault="0025617C" w:rsidP="001755BF"/>
        </w:tc>
        <w:tc>
          <w:tcPr>
            <w:tcW w:w="1445" w:type="pct"/>
            <w:noWrap/>
            <w:hideMark/>
          </w:tcPr>
          <w:p w:rsidR="0025617C" w:rsidRPr="0074017C" w:rsidRDefault="0025617C" w:rsidP="001755BF"/>
        </w:tc>
        <w:tc>
          <w:tcPr>
            <w:tcW w:w="1076" w:type="pct"/>
            <w:noWrap/>
            <w:hideMark/>
          </w:tcPr>
          <w:p w:rsidR="0025617C" w:rsidRPr="0074017C" w:rsidRDefault="0025617C" w:rsidP="001755BF"/>
        </w:tc>
      </w:tr>
      <w:tr w:rsidR="0025617C" w:rsidRPr="0074017C" w:rsidTr="0025617C">
        <w:trPr>
          <w:trHeight w:val="260"/>
        </w:trPr>
        <w:tc>
          <w:tcPr>
            <w:tcW w:w="1692" w:type="pct"/>
            <w:gridSpan w:val="2"/>
            <w:noWrap/>
            <w:hideMark/>
          </w:tcPr>
          <w:p w:rsidR="0025617C" w:rsidRPr="0074017C" w:rsidRDefault="0025617C" w:rsidP="001755BF">
            <w:r w:rsidRPr="0074017C">
              <w:t>Atorvastatin 10mg</w:t>
            </w:r>
          </w:p>
        </w:tc>
        <w:tc>
          <w:tcPr>
            <w:tcW w:w="787" w:type="pct"/>
            <w:noWrap/>
            <w:hideMark/>
          </w:tcPr>
          <w:p w:rsidR="0025617C" w:rsidRPr="0074017C" w:rsidRDefault="0025617C" w:rsidP="001755BF">
            <w:r w:rsidRPr="0074017C">
              <w:t>tabl.</w:t>
            </w:r>
          </w:p>
        </w:tc>
        <w:tc>
          <w:tcPr>
            <w:tcW w:w="1445" w:type="pct"/>
            <w:noWrap/>
          </w:tcPr>
          <w:p w:rsidR="0025617C" w:rsidRPr="0074017C" w:rsidRDefault="0025617C" w:rsidP="001755BF">
            <w:r w:rsidRPr="0074017C">
              <w:t>Nobel Ilac</w:t>
            </w:r>
          </w:p>
        </w:tc>
        <w:tc>
          <w:tcPr>
            <w:tcW w:w="1076" w:type="pct"/>
            <w:noWrap/>
          </w:tcPr>
          <w:p w:rsidR="0025617C" w:rsidRPr="0074017C" w:rsidRDefault="0025617C" w:rsidP="001755BF">
            <w:r w:rsidRPr="0074017C">
              <w:t>13.539</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10mg atorvastatins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1.899.817</w:t>
            </w:r>
          </w:p>
        </w:tc>
      </w:tr>
      <w:tr w:rsidR="0025617C" w:rsidRPr="0074017C" w:rsidTr="0025617C">
        <w:trPr>
          <w:trHeight w:val="260"/>
        </w:trPr>
        <w:tc>
          <w:tcPr>
            <w:tcW w:w="846" w:type="pct"/>
            <w:noWrap/>
            <w:hideMark/>
          </w:tcPr>
          <w:p w:rsidR="0025617C" w:rsidRPr="0074017C" w:rsidRDefault="0025617C" w:rsidP="001755BF">
            <w:pPr>
              <w:rPr>
                <w:b/>
                <w:bCs/>
              </w:rPr>
            </w:pPr>
          </w:p>
        </w:tc>
        <w:tc>
          <w:tcPr>
            <w:tcW w:w="846" w:type="pct"/>
            <w:noWrap/>
            <w:hideMark/>
          </w:tcPr>
          <w:p w:rsidR="0025617C" w:rsidRPr="0074017C" w:rsidRDefault="0025617C" w:rsidP="001755BF"/>
        </w:tc>
        <w:tc>
          <w:tcPr>
            <w:tcW w:w="787" w:type="pct"/>
            <w:noWrap/>
            <w:hideMark/>
          </w:tcPr>
          <w:p w:rsidR="0025617C" w:rsidRPr="0074017C" w:rsidRDefault="0025617C" w:rsidP="001755BF"/>
        </w:tc>
        <w:tc>
          <w:tcPr>
            <w:tcW w:w="1445" w:type="pct"/>
            <w:noWrap/>
            <w:hideMark/>
          </w:tcPr>
          <w:p w:rsidR="0025617C" w:rsidRPr="0074017C" w:rsidRDefault="0025617C" w:rsidP="001755BF"/>
        </w:tc>
        <w:tc>
          <w:tcPr>
            <w:tcW w:w="1076" w:type="pct"/>
            <w:noWrap/>
            <w:hideMark/>
          </w:tcPr>
          <w:p w:rsidR="0025617C" w:rsidRPr="0074017C" w:rsidRDefault="0025617C" w:rsidP="001755BF"/>
        </w:tc>
      </w:tr>
      <w:tr w:rsidR="0025617C" w:rsidRPr="0074017C" w:rsidTr="0025617C">
        <w:trPr>
          <w:trHeight w:val="260"/>
        </w:trPr>
        <w:tc>
          <w:tcPr>
            <w:tcW w:w="1692" w:type="pct"/>
            <w:gridSpan w:val="2"/>
            <w:noWrap/>
            <w:hideMark/>
          </w:tcPr>
          <w:p w:rsidR="0025617C" w:rsidRPr="0074017C" w:rsidRDefault="0025617C" w:rsidP="001755BF">
            <w:r w:rsidRPr="0074017C">
              <w:t>AMLODIPINE 10 MG</w:t>
            </w:r>
          </w:p>
        </w:tc>
        <w:tc>
          <w:tcPr>
            <w:tcW w:w="787" w:type="pct"/>
            <w:noWrap/>
            <w:hideMark/>
          </w:tcPr>
          <w:p w:rsidR="0025617C" w:rsidRPr="0074017C" w:rsidRDefault="0025617C" w:rsidP="001755BF">
            <w:r w:rsidRPr="0074017C">
              <w:t>tabl.</w:t>
            </w:r>
          </w:p>
        </w:tc>
        <w:tc>
          <w:tcPr>
            <w:tcW w:w="1445" w:type="pct"/>
            <w:noWrap/>
            <w:hideMark/>
          </w:tcPr>
          <w:p w:rsidR="0025617C" w:rsidRPr="0074017C" w:rsidRDefault="0025617C" w:rsidP="0025617C">
            <w:r w:rsidRPr="0074017C">
              <w:t>Profarma</w:t>
            </w:r>
          </w:p>
        </w:tc>
        <w:tc>
          <w:tcPr>
            <w:tcW w:w="1076" w:type="pct"/>
            <w:noWrap/>
            <w:hideMark/>
          </w:tcPr>
          <w:p w:rsidR="0025617C" w:rsidRPr="0074017C" w:rsidRDefault="0025617C" w:rsidP="0025617C">
            <w:r w:rsidRPr="0074017C">
              <w:t>12.199.450</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10 mg amlodipines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26.142.972</w:t>
            </w:r>
          </w:p>
        </w:tc>
      </w:tr>
      <w:tr w:rsidR="0025617C" w:rsidRPr="0074017C" w:rsidTr="0025617C">
        <w:trPr>
          <w:trHeight w:val="260"/>
        </w:trPr>
        <w:tc>
          <w:tcPr>
            <w:tcW w:w="846" w:type="pct"/>
            <w:noWrap/>
            <w:hideMark/>
          </w:tcPr>
          <w:p w:rsidR="0025617C" w:rsidRPr="0074017C" w:rsidRDefault="0025617C" w:rsidP="001755BF">
            <w:pPr>
              <w:rPr>
                <w:b/>
                <w:bCs/>
              </w:rPr>
            </w:pPr>
          </w:p>
        </w:tc>
        <w:tc>
          <w:tcPr>
            <w:tcW w:w="846" w:type="pct"/>
            <w:noWrap/>
            <w:hideMark/>
          </w:tcPr>
          <w:p w:rsidR="0025617C" w:rsidRPr="0074017C" w:rsidRDefault="0025617C" w:rsidP="001755BF"/>
        </w:tc>
        <w:tc>
          <w:tcPr>
            <w:tcW w:w="787" w:type="pct"/>
            <w:noWrap/>
            <w:hideMark/>
          </w:tcPr>
          <w:p w:rsidR="0025617C" w:rsidRPr="0074017C" w:rsidRDefault="0025617C" w:rsidP="001755BF"/>
        </w:tc>
        <w:tc>
          <w:tcPr>
            <w:tcW w:w="1445" w:type="pct"/>
            <w:noWrap/>
            <w:hideMark/>
          </w:tcPr>
          <w:p w:rsidR="0025617C" w:rsidRPr="0074017C" w:rsidRDefault="0025617C" w:rsidP="001755BF"/>
        </w:tc>
        <w:tc>
          <w:tcPr>
            <w:tcW w:w="1076" w:type="pct"/>
            <w:noWrap/>
            <w:hideMark/>
          </w:tcPr>
          <w:p w:rsidR="0025617C" w:rsidRPr="0074017C" w:rsidRDefault="0025617C" w:rsidP="001755BF"/>
        </w:tc>
      </w:tr>
      <w:tr w:rsidR="0025617C" w:rsidRPr="0074017C" w:rsidTr="0025617C">
        <w:trPr>
          <w:trHeight w:val="260"/>
        </w:trPr>
        <w:tc>
          <w:tcPr>
            <w:tcW w:w="1692" w:type="pct"/>
            <w:gridSpan w:val="2"/>
            <w:noWrap/>
            <w:hideMark/>
          </w:tcPr>
          <w:p w:rsidR="0025617C" w:rsidRPr="0074017C" w:rsidRDefault="0025617C" w:rsidP="001755BF">
            <w:r w:rsidRPr="0074017C">
              <w:t>AMLODIPINE 5 MG</w:t>
            </w:r>
          </w:p>
        </w:tc>
        <w:tc>
          <w:tcPr>
            <w:tcW w:w="787" w:type="pct"/>
            <w:noWrap/>
            <w:hideMark/>
          </w:tcPr>
          <w:p w:rsidR="0025617C" w:rsidRPr="0074017C" w:rsidRDefault="0025617C" w:rsidP="001755BF">
            <w:r w:rsidRPr="0074017C">
              <w:t>tabl.</w:t>
            </w:r>
          </w:p>
        </w:tc>
        <w:tc>
          <w:tcPr>
            <w:tcW w:w="1445" w:type="pct"/>
            <w:noWrap/>
            <w:hideMark/>
          </w:tcPr>
          <w:p w:rsidR="0025617C" w:rsidRPr="0074017C" w:rsidRDefault="0025617C" w:rsidP="001755BF">
            <w:r w:rsidRPr="0074017C">
              <w:t>Bosnalijek</w:t>
            </w:r>
          </w:p>
        </w:tc>
        <w:tc>
          <w:tcPr>
            <w:tcW w:w="1076" w:type="pct"/>
            <w:noWrap/>
            <w:hideMark/>
          </w:tcPr>
          <w:p w:rsidR="0025617C" w:rsidRPr="0074017C" w:rsidRDefault="0025617C" w:rsidP="001755BF">
            <w:r w:rsidRPr="0074017C">
              <w:t>387</w:t>
            </w:r>
          </w:p>
        </w:tc>
      </w:tr>
      <w:tr w:rsidR="0025617C" w:rsidRPr="0074017C" w:rsidTr="0025617C">
        <w:trPr>
          <w:trHeight w:val="260"/>
        </w:trPr>
        <w:tc>
          <w:tcPr>
            <w:tcW w:w="2479" w:type="pct"/>
            <w:gridSpan w:val="3"/>
            <w:noWrap/>
            <w:hideMark/>
          </w:tcPr>
          <w:p w:rsidR="0025617C" w:rsidRPr="0074017C" w:rsidRDefault="0025617C" w:rsidP="001755BF">
            <w:pPr>
              <w:rPr>
                <w:b/>
                <w:bCs/>
              </w:rPr>
            </w:pPr>
            <w:r w:rsidRPr="0074017C">
              <w:rPr>
                <w:b/>
                <w:bCs/>
              </w:rPr>
              <w:t>All 5 mg amlodipines</w:t>
            </w:r>
          </w:p>
        </w:tc>
        <w:tc>
          <w:tcPr>
            <w:tcW w:w="1445" w:type="pct"/>
            <w:noWrap/>
            <w:hideMark/>
          </w:tcPr>
          <w:p w:rsidR="0025617C" w:rsidRPr="0074017C" w:rsidRDefault="0025617C" w:rsidP="001755BF">
            <w:pPr>
              <w:rPr>
                <w:b/>
                <w:bCs/>
              </w:rPr>
            </w:pPr>
          </w:p>
        </w:tc>
        <w:tc>
          <w:tcPr>
            <w:tcW w:w="1076" w:type="pct"/>
            <w:noWrap/>
            <w:hideMark/>
          </w:tcPr>
          <w:p w:rsidR="0025617C" w:rsidRPr="0074017C" w:rsidRDefault="0025617C" w:rsidP="001755BF">
            <w:pPr>
              <w:rPr>
                <w:b/>
                <w:bCs/>
              </w:rPr>
            </w:pPr>
            <w:r w:rsidRPr="0074017C">
              <w:rPr>
                <w:b/>
                <w:bCs/>
              </w:rPr>
              <w:t>6.176.051</w:t>
            </w:r>
          </w:p>
        </w:tc>
      </w:tr>
    </w:tbl>
    <w:p w:rsidR="0060319C" w:rsidRPr="0074017C" w:rsidRDefault="0060319C" w:rsidP="00DC10CD">
      <w:pPr>
        <w:spacing w:after="0" w:line="240" w:lineRule="auto"/>
        <w:jc w:val="both"/>
      </w:pPr>
    </w:p>
    <w:p w:rsidR="00AC5115" w:rsidRPr="0074017C" w:rsidRDefault="00AC5115" w:rsidP="00DC10CD">
      <w:pPr>
        <w:spacing w:after="0" w:line="240" w:lineRule="auto"/>
        <w:jc w:val="both"/>
      </w:pPr>
    </w:p>
    <w:p w:rsidR="00082346" w:rsidRPr="0074017C" w:rsidRDefault="00082346" w:rsidP="00DC10CD">
      <w:pPr>
        <w:spacing w:after="0" w:line="240" w:lineRule="auto"/>
        <w:jc w:val="both"/>
      </w:pPr>
    </w:p>
    <w:p w:rsidR="00082346" w:rsidRPr="0074017C" w:rsidRDefault="00082346" w:rsidP="00DC10CD">
      <w:pPr>
        <w:pStyle w:val="Heading4"/>
        <w:spacing w:before="0" w:line="240" w:lineRule="auto"/>
      </w:pPr>
      <w:r w:rsidRPr="0074017C">
        <w:t>Reimbursed prices for different concentrations</w:t>
      </w:r>
      <w:r w:rsidR="00BE7EF0" w:rsidRPr="0074017C">
        <w:t xml:space="preserve"> of same INN</w:t>
      </w:r>
    </w:p>
    <w:p w:rsidR="00AC5115" w:rsidRPr="0074017C" w:rsidRDefault="00AC5115" w:rsidP="00DC10CD">
      <w:pPr>
        <w:spacing w:after="0" w:line="240" w:lineRule="auto"/>
        <w:jc w:val="both"/>
      </w:pPr>
    </w:p>
    <w:p w:rsidR="00DE1BB9" w:rsidRPr="0074017C" w:rsidRDefault="00A9384B" w:rsidP="00DC10CD">
      <w:pPr>
        <w:spacing w:after="0" w:line="240" w:lineRule="auto"/>
        <w:jc w:val="both"/>
      </w:pPr>
      <w:r w:rsidRPr="0074017C">
        <w:t xml:space="preserve">As no price comparisons by </w:t>
      </w:r>
      <w:r w:rsidR="00312CCE" w:rsidRPr="0074017C">
        <w:t>defined daily doses (DDD)</w:t>
      </w:r>
      <w:r w:rsidRPr="0074017C">
        <w:t xml:space="preserve"> are implemented even for the same </w:t>
      </w:r>
      <w:r w:rsidR="00312CCE" w:rsidRPr="0074017C">
        <w:t>International Nonproprietary Names (INN)</w:t>
      </w:r>
      <w:r w:rsidRPr="0074017C">
        <w:t xml:space="preserve">, </w:t>
      </w:r>
      <w:r w:rsidR="007F13F9" w:rsidRPr="0074017C">
        <w:t>substantial price differences appear</w:t>
      </w:r>
      <w:r w:rsidR="00DE1BB9" w:rsidRPr="0074017C">
        <w:t>in</w:t>
      </w:r>
      <w:r w:rsidR="0003184F" w:rsidRPr="0074017C">
        <w:t xml:space="preserve">a </w:t>
      </w:r>
      <w:r w:rsidR="0091777B" w:rsidRPr="0074017C">
        <w:t xml:space="preserve">large </w:t>
      </w:r>
      <w:r w:rsidR="0003184F" w:rsidRPr="0074017C">
        <w:t>number</w:t>
      </w:r>
      <w:r w:rsidR="00CD67F4" w:rsidRPr="0074017C">
        <w:t xml:space="preserve"> of</w:t>
      </w:r>
      <w:r w:rsidR="0003184F" w:rsidRPr="0074017C">
        <w:t xml:space="preserve"> molecules</w:t>
      </w:r>
      <w:r w:rsidR="00DE1BB9" w:rsidRPr="0074017C">
        <w:t xml:space="preserve"> if prices of different concentrations</w:t>
      </w:r>
      <w:r w:rsidR="00312CCE" w:rsidRPr="0074017C">
        <w:t>/</w:t>
      </w:r>
      <w:r w:rsidR="00C3066E" w:rsidRPr="0074017C">
        <w:t>strengths</w:t>
      </w:r>
      <w:r w:rsidR="00DE1BB9" w:rsidRPr="0074017C">
        <w:t xml:space="preserve"> of same INNs are compared.</w:t>
      </w:r>
      <w:r w:rsidR="00312CCE" w:rsidRPr="0074017C">
        <w:t>This is a direct result of the current price setting methodology based solely on negotiations during which international prices by brand are compared. Table 1</w:t>
      </w:r>
      <w:r w:rsidR="00D076D5" w:rsidRPr="0074017C">
        <w:t>3</w:t>
      </w:r>
      <w:r w:rsidR="00312CCE" w:rsidRPr="0074017C">
        <w:t xml:space="preserve"> lists several examples.</w:t>
      </w:r>
    </w:p>
    <w:p w:rsidR="00DE1BB9" w:rsidRPr="0074017C" w:rsidRDefault="00DE1BB9" w:rsidP="00DC10CD">
      <w:pPr>
        <w:spacing w:after="0" w:line="240" w:lineRule="auto"/>
        <w:jc w:val="both"/>
      </w:pPr>
    </w:p>
    <w:p w:rsidR="00DE1BB9" w:rsidRPr="0074017C" w:rsidRDefault="00875271" w:rsidP="00DC10CD">
      <w:pPr>
        <w:spacing w:after="0" w:line="240" w:lineRule="auto"/>
        <w:jc w:val="both"/>
      </w:pPr>
      <w:r w:rsidRPr="0074017C">
        <w:t>Table 1</w:t>
      </w:r>
      <w:r w:rsidR="00D076D5" w:rsidRPr="0074017C">
        <w:t>3</w:t>
      </w:r>
      <w:r w:rsidR="00A93829" w:rsidRPr="0074017C">
        <w:t xml:space="preserve"> – Price comparisons of different concentrations of same INNs</w:t>
      </w:r>
    </w:p>
    <w:tbl>
      <w:tblPr>
        <w:tblStyle w:val="TableGrid"/>
        <w:tblW w:w="5000" w:type="pct"/>
        <w:tblLook w:val="04A0"/>
      </w:tblPr>
      <w:tblGrid>
        <w:gridCol w:w="2041"/>
        <w:gridCol w:w="830"/>
        <w:gridCol w:w="1380"/>
        <w:gridCol w:w="1708"/>
        <w:gridCol w:w="868"/>
        <w:gridCol w:w="1203"/>
        <w:gridCol w:w="1546"/>
      </w:tblGrid>
      <w:tr w:rsidR="00DE1BB9" w:rsidRPr="0074017C" w:rsidTr="00A9384B">
        <w:tc>
          <w:tcPr>
            <w:tcW w:w="1090" w:type="pct"/>
          </w:tcPr>
          <w:p w:rsidR="00DE1BB9" w:rsidRPr="0074017C" w:rsidRDefault="00DE1BB9" w:rsidP="00DC10CD">
            <w:pPr>
              <w:jc w:val="both"/>
              <w:rPr>
                <w:b/>
              </w:rPr>
            </w:pPr>
            <w:r w:rsidRPr="0074017C">
              <w:rPr>
                <w:b/>
              </w:rPr>
              <w:t>INN</w:t>
            </w:r>
          </w:p>
        </w:tc>
        <w:tc>
          <w:tcPr>
            <w:tcW w:w="458" w:type="pct"/>
          </w:tcPr>
          <w:p w:rsidR="00DE1BB9" w:rsidRPr="0074017C" w:rsidRDefault="00DE1BB9" w:rsidP="00DC10CD">
            <w:pPr>
              <w:jc w:val="both"/>
              <w:rPr>
                <w:b/>
              </w:rPr>
            </w:pPr>
            <w:r w:rsidRPr="0074017C">
              <w:rPr>
                <w:b/>
              </w:rPr>
              <w:t>Form</w:t>
            </w:r>
          </w:p>
        </w:tc>
        <w:tc>
          <w:tcPr>
            <w:tcW w:w="745" w:type="pct"/>
          </w:tcPr>
          <w:p w:rsidR="00DE1BB9" w:rsidRPr="0074017C" w:rsidRDefault="00DE1BB9" w:rsidP="00DC10CD">
            <w:pPr>
              <w:jc w:val="both"/>
              <w:rPr>
                <w:b/>
              </w:rPr>
            </w:pPr>
            <w:r w:rsidRPr="0074017C">
              <w:rPr>
                <w:b/>
              </w:rPr>
              <w:t>Brand name</w:t>
            </w:r>
          </w:p>
        </w:tc>
        <w:tc>
          <w:tcPr>
            <w:tcW w:w="745" w:type="pct"/>
          </w:tcPr>
          <w:p w:rsidR="00DE1BB9" w:rsidRPr="0074017C" w:rsidRDefault="00DE1BB9" w:rsidP="00DC10CD">
            <w:pPr>
              <w:jc w:val="both"/>
              <w:rPr>
                <w:b/>
              </w:rPr>
            </w:pPr>
            <w:r w:rsidRPr="0074017C">
              <w:rPr>
                <w:b/>
              </w:rPr>
              <w:t>MAH</w:t>
            </w:r>
          </w:p>
        </w:tc>
        <w:tc>
          <w:tcPr>
            <w:tcW w:w="478" w:type="pct"/>
          </w:tcPr>
          <w:p w:rsidR="00DE1BB9" w:rsidRPr="0074017C" w:rsidRDefault="00DE1BB9" w:rsidP="00DC10CD">
            <w:pPr>
              <w:jc w:val="both"/>
              <w:rPr>
                <w:b/>
              </w:rPr>
            </w:pPr>
            <w:r w:rsidRPr="0074017C">
              <w:rPr>
                <w:b/>
              </w:rPr>
              <w:t xml:space="preserve">Total price </w:t>
            </w:r>
          </w:p>
        </w:tc>
        <w:tc>
          <w:tcPr>
            <w:tcW w:w="652" w:type="pct"/>
          </w:tcPr>
          <w:p w:rsidR="00DE1BB9" w:rsidRPr="0074017C" w:rsidRDefault="00DE1BB9" w:rsidP="00DC10CD">
            <w:pPr>
              <w:jc w:val="both"/>
              <w:rPr>
                <w:b/>
              </w:rPr>
            </w:pPr>
            <w:r w:rsidRPr="0074017C">
              <w:rPr>
                <w:b/>
              </w:rPr>
              <w:t>Co-payment</w:t>
            </w:r>
          </w:p>
        </w:tc>
        <w:tc>
          <w:tcPr>
            <w:tcW w:w="831" w:type="pct"/>
          </w:tcPr>
          <w:p w:rsidR="00DE1BB9" w:rsidRPr="0074017C" w:rsidRDefault="00DE1BB9" w:rsidP="00DC10CD">
            <w:pPr>
              <w:jc w:val="both"/>
              <w:rPr>
                <w:b/>
              </w:rPr>
            </w:pPr>
            <w:r w:rsidRPr="0074017C">
              <w:rPr>
                <w:b/>
              </w:rPr>
              <w:t>Reimbursed price</w:t>
            </w:r>
          </w:p>
        </w:tc>
      </w:tr>
      <w:tr w:rsidR="00DE1BB9" w:rsidRPr="0074017C" w:rsidTr="00CD67F4">
        <w:tc>
          <w:tcPr>
            <w:tcW w:w="1090" w:type="pct"/>
            <w:shd w:val="clear" w:color="auto" w:fill="D9D9D9" w:themeFill="background1" w:themeFillShade="D9"/>
          </w:tcPr>
          <w:p w:rsidR="00DE1BB9" w:rsidRPr="0074017C" w:rsidRDefault="00DE1BB9" w:rsidP="00DC10CD">
            <w:r w:rsidRPr="0074017C">
              <w:t>Metoprolol 50 mg</w:t>
            </w:r>
          </w:p>
        </w:tc>
        <w:tc>
          <w:tcPr>
            <w:tcW w:w="458" w:type="pct"/>
            <w:shd w:val="clear" w:color="auto" w:fill="D9D9D9" w:themeFill="background1" w:themeFillShade="D9"/>
          </w:tcPr>
          <w:p w:rsidR="00DE1BB9" w:rsidRPr="0074017C" w:rsidRDefault="00A9384B" w:rsidP="00DC10CD">
            <w:r w:rsidRPr="0074017C">
              <w:t>tbl</w:t>
            </w:r>
          </w:p>
        </w:tc>
        <w:tc>
          <w:tcPr>
            <w:tcW w:w="745" w:type="pct"/>
            <w:shd w:val="clear" w:color="auto" w:fill="D9D9D9" w:themeFill="background1" w:themeFillShade="D9"/>
          </w:tcPr>
          <w:p w:rsidR="00DE1BB9" w:rsidRPr="0074017C" w:rsidRDefault="00A9384B" w:rsidP="00DC10CD">
            <w:r w:rsidRPr="0074017C">
              <w:t>Acis</w:t>
            </w:r>
          </w:p>
        </w:tc>
        <w:tc>
          <w:tcPr>
            <w:tcW w:w="745" w:type="pct"/>
            <w:shd w:val="clear" w:color="auto" w:fill="D9D9D9" w:themeFill="background1" w:themeFillShade="D9"/>
          </w:tcPr>
          <w:p w:rsidR="00DE1BB9" w:rsidRPr="0074017C" w:rsidRDefault="00A9384B" w:rsidP="00DC10CD">
            <w:r w:rsidRPr="0074017C">
              <w:t>Mibe</w:t>
            </w:r>
          </w:p>
        </w:tc>
        <w:tc>
          <w:tcPr>
            <w:tcW w:w="478" w:type="pct"/>
            <w:shd w:val="clear" w:color="auto" w:fill="D9D9D9" w:themeFill="background1" w:themeFillShade="D9"/>
          </w:tcPr>
          <w:p w:rsidR="00DE1BB9" w:rsidRPr="0074017C" w:rsidRDefault="00A9384B" w:rsidP="00DC10CD">
            <w:r w:rsidRPr="0074017C">
              <w:t>7,5</w:t>
            </w:r>
          </w:p>
        </w:tc>
        <w:tc>
          <w:tcPr>
            <w:tcW w:w="652" w:type="pct"/>
            <w:shd w:val="clear" w:color="auto" w:fill="D9D9D9" w:themeFill="background1" w:themeFillShade="D9"/>
          </w:tcPr>
          <w:p w:rsidR="00DE1BB9" w:rsidRPr="0074017C" w:rsidRDefault="00A9384B" w:rsidP="00DC10CD">
            <w:r w:rsidRPr="0074017C">
              <w:t>2,2</w:t>
            </w:r>
          </w:p>
        </w:tc>
        <w:tc>
          <w:tcPr>
            <w:tcW w:w="831" w:type="pct"/>
            <w:shd w:val="clear" w:color="auto" w:fill="D9D9D9" w:themeFill="background1" w:themeFillShade="D9"/>
          </w:tcPr>
          <w:p w:rsidR="00DE1BB9" w:rsidRPr="0074017C" w:rsidRDefault="00A9384B" w:rsidP="00DC10CD">
            <w:r w:rsidRPr="0074017C">
              <w:t>5,3</w:t>
            </w:r>
          </w:p>
        </w:tc>
      </w:tr>
      <w:tr w:rsidR="00DE1BB9" w:rsidRPr="0074017C" w:rsidTr="00CD67F4">
        <w:tc>
          <w:tcPr>
            <w:tcW w:w="1090" w:type="pct"/>
            <w:shd w:val="clear" w:color="auto" w:fill="D9D9D9" w:themeFill="background1" w:themeFillShade="D9"/>
          </w:tcPr>
          <w:p w:rsidR="00DE1BB9" w:rsidRPr="0074017C" w:rsidRDefault="00A9384B" w:rsidP="00DC10CD">
            <w:r w:rsidRPr="0074017C">
              <w:t>Metoprolol 100 mg</w:t>
            </w:r>
          </w:p>
        </w:tc>
        <w:tc>
          <w:tcPr>
            <w:tcW w:w="458" w:type="pct"/>
            <w:shd w:val="clear" w:color="auto" w:fill="D9D9D9" w:themeFill="background1" w:themeFillShade="D9"/>
          </w:tcPr>
          <w:p w:rsidR="00DE1BB9" w:rsidRPr="0074017C" w:rsidRDefault="00A9384B" w:rsidP="00DC10CD">
            <w:r w:rsidRPr="0074017C">
              <w:t>tbl</w:t>
            </w:r>
          </w:p>
        </w:tc>
        <w:tc>
          <w:tcPr>
            <w:tcW w:w="745" w:type="pct"/>
            <w:shd w:val="clear" w:color="auto" w:fill="D9D9D9" w:themeFill="background1" w:themeFillShade="D9"/>
          </w:tcPr>
          <w:p w:rsidR="00DE1BB9" w:rsidRPr="0074017C" w:rsidRDefault="00A9384B" w:rsidP="00DC10CD">
            <w:r w:rsidRPr="0074017C">
              <w:t>Metoprolol</w:t>
            </w:r>
          </w:p>
        </w:tc>
        <w:tc>
          <w:tcPr>
            <w:tcW w:w="745" w:type="pct"/>
            <w:shd w:val="clear" w:color="auto" w:fill="D9D9D9" w:themeFill="background1" w:themeFillShade="D9"/>
          </w:tcPr>
          <w:p w:rsidR="00DE1BB9" w:rsidRPr="0074017C" w:rsidRDefault="00A9384B" w:rsidP="00DC10CD">
            <w:r w:rsidRPr="0074017C">
              <w:t>Profarma</w:t>
            </w:r>
          </w:p>
        </w:tc>
        <w:tc>
          <w:tcPr>
            <w:tcW w:w="478" w:type="pct"/>
            <w:shd w:val="clear" w:color="auto" w:fill="D9D9D9" w:themeFill="background1" w:themeFillShade="D9"/>
          </w:tcPr>
          <w:p w:rsidR="00DE1BB9" w:rsidRPr="0074017C" w:rsidRDefault="00A9384B" w:rsidP="00DC10CD">
            <w:r w:rsidRPr="0074017C">
              <w:t>2,7</w:t>
            </w:r>
          </w:p>
        </w:tc>
        <w:tc>
          <w:tcPr>
            <w:tcW w:w="652" w:type="pct"/>
            <w:shd w:val="clear" w:color="auto" w:fill="D9D9D9" w:themeFill="background1" w:themeFillShade="D9"/>
          </w:tcPr>
          <w:p w:rsidR="00DE1BB9" w:rsidRPr="0074017C" w:rsidRDefault="00A9384B" w:rsidP="00DC10CD">
            <w:r w:rsidRPr="0074017C">
              <w:t>0,8</w:t>
            </w:r>
          </w:p>
        </w:tc>
        <w:tc>
          <w:tcPr>
            <w:tcW w:w="831" w:type="pct"/>
            <w:shd w:val="clear" w:color="auto" w:fill="D9D9D9" w:themeFill="background1" w:themeFillShade="D9"/>
          </w:tcPr>
          <w:p w:rsidR="00DE1BB9" w:rsidRPr="0074017C" w:rsidRDefault="00A9384B" w:rsidP="00DC10CD">
            <w:r w:rsidRPr="0074017C">
              <w:t>1,9</w:t>
            </w:r>
          </w:p>
        </w:tc>
      </w:tr>
      <w:tr w:rsidR="00A9384B" w:rsidRPr="0074017C" w:rsidTr="00CD67F4">
        <w:tc>
          <w:tcPr>
            <w:tcW w:w="1090" w:type="pct"/>
            <w:shd w:val="clear" w:color="auto" w:fill="D9D9D9" w:themeFill="background1" w:themeFillShade="D9"/>
          </w:tcPr>
          <w:p w:rsidR="00A9384B" w:rsidRPr="0074017C" w:rsidRDefault="00A9384B" w:rsidP="00DC10CD">
            <w:r w:rsidRPr="0074017C">
              <w:t>Metoprolol 200 mg</w:t>
            </w:r>
          </w:p>
        </w:tc>
        <w:tc>
          <w:tcPr>
            <w:tcW w:w="458" w:type="pct"/>
            <w:shd w:val="clear" w:color="auto" w:fill="D9D9D9" w:themeFill="background1" w:themeFillShade="D9"/>
          </w:tcPr>
          <w:p w:rsidR="00A9384B" w:rsidRPr="0074017C" w:rsidRDefault="00A9384B" w:rsidP="00DC10CD">
            <w:r w:rsidRPr="0074017C">
              <w:t>tbl</w:t>
            </w:r>
          </w:p>
        </w:tc>
        <w:tc>
          <w:tcPr>
            <w:tcW w:w="745" w:type="pct"/>
            <w:shd w:val="clear" w:color="auto" w:fill="D9D9D9" w:themeFill="background1" w:themeFillShade="D9"/>
          </w:tcPr>
          <w:p w:rsidR="00A9384B" w:rsidRPr="0074017C" w:rsidRDefault="00A9384B" w:rsidP="00DC10CD">
            <w:r w:rsidRPr="0074017C">
              <w:t>Acis</w:t>
            </w:r>
          </w:p>
        </w:tc>
        <w:tc>
          <w:tcPr>
            <w:tcW w:w="745" w:type="pct"/>
            <w:shd w:val="clear" w:color="auto" w:fill="D9D9D9" w:themeFill="background1" w:themeFillShade="D9"/>
          </w:tcPr>
          <w:p w:rsidR="00A9384B" w:rsidRPr="0074017C" w:rsidRDefault="00A9384B" w:rsidP="00DC10CD">
            <w:r w:rsidRPr="0074017C">
              <w:t>Mibe</w:t>
            </w:r>
          </w:p>
        </w:tc>
        <w:tc>
          <w:tcPr>
            <w:tcW w:w="478" w:type="pct"/>
            <w:shd w:val="clear" w:color="auto" w:fill="D9D9D9" w:themeFill="background1" w:themeFillShade="D9"/>
          </w:tcPr>
          <w:p w:rsidR="00A9384B" w:rsidRPr="0074017C" w:rsidRDefault="00A9384B" w:rsidP="00DC10CD">
            <w:r w:rsidRPr="0074017C">
              <w:t>28,2</w:t>
            </w:r>
          </w:p>
        </w:tc>
        <w:tc>
          <w:tcPr>
            <w:tcW w:w="652" w:type="pct"/>
            <w:shd w:val="clear" w:color="auto" w:fill="D9D9D9" w:themeFill="background1" w:themeFillShade="D9"/>
          </w:tcPr>
          <w:p w:rsidR="00A9384B" w:rsidRPr="0074017C" w:rsidRDefault="00A9384B" w:rsidP="00DC10CD">
            <w:r w:rsidRPr="0074017C">
              <w:t>8,5</w:t>
            </w:r>
          </w:p>
        </w:tc>
        <w:tc>
          <w:tcPr>
            <w:tcW w:w="831" w:type="pct"/>
            <w:shd w:val="clear" w:color="auto" w:fill="D9D9D9" w:themeFill="background1" w:themeFillShade="D9"/>
          </w:tcPr>
          <w:p w:rsidR="00A9384B" w:rsidRPr="0074017C" w:rsidRDefault="00A9384B" w:rsidP="00DC10CD">
            <w:r w:rsidRPr="0074017C">
              <w:t>19,7</w:t>
            </w:r>
          </w:p>
        </w:tc>
      </w:tr>
      <w:tr w:rsidR="00A9384B" w:rsidRPr="0074017C" w:rsidTr="00A9384B">
        <w:tc>
          <w:tcPr>
            <w:tcW w:w="1090" w:type="pct"/>
            <w:shd w:val="clear" w:color="auto" w:fill="FFFFFF" w:themeFill="background1"/>
          </w:tcPr>
          <w:p w:rsidR="00A9384B" w:rsidRPr="0074017C" w:rsidRDefault="00A9384B" w:rsidP="00DC10CD">
            <w:r w:rsidRPr="0074017C">
              <w:t>Bisoprolol 5 mg</w:t>
            </w:r>
          </w:p>
        </w:tc>
        <w:tc>
          <w:tcPr>
            <w:tcW w:w="458" w:type="pct"/>
            <w:shd w:val="clear" w:color="auto" w:fill="FFFFFF" w:themeFill="background1"/>
          </w:tcPr>
          <w:p w:rsidR="00A9384B" w:rsidRPr="0074017C" w:rsidRDefault="00A9384B" w:rsidP="00DC10CD">
            <w:r w:rsidRPr="0074017C">
              <w:t>tbl</w:t>
            </w:r>
          </w:p>
        </w:tc>
        <w:tc>
          <w:tcPr>
            <w:tcW w:w="745" w:type="pct"/>
            <w:shd w:val="clear" w:color="auto" w:fill="FFFFFF" w:themeFill="background1"/>
          </w:tcPr>
          <w:p w:rsidR="00A9384B" w:rsidRPr="0074017C" w:rsidRDefault="00A9384B" w:rsidP="00DC10CD">
            <w:r w:rsidRPr="0074017C">
              <w:t>Tensec</w:t>
            </w:r>
          </w:p>
        </w:tc>
        <w:tc>
          <w:tcPr>
            <w:tcW w:w="745" w:type="pct"/>
            <w:shd w:val="clear" w:color="auto" w:fill="FFFFFF" w:themeFill="background1"/>
          </w:tcPr>
          <w:p w:rsidR="00A9384B" w:rsidRPr="0074017C" w:rsidRDefault="00A9384B" w:rsidP="00DC10CD">
            <w:r w:rsidRPr="0074017C">
              <w:t>Hemofarm</w:t>
            </w:r>
          </w:p>
        </w:tc>
        <w:tc>
          <w:tcPr>
            <w:tcW w:w="478" w:type="pct"/>
            <w:shd w:val="clear" w:color="auto" w:fill="FFFFFF" w:themeFill="background1"/>
          </w:tcPr>
          <w:p w:rsidR="00A9384B" w:rsidRPr="0074017C" w:rsidRDefault="00A9384B" w:rsidP="00DC10CD">
            <w:r w:rsidRPr="0074017C">
              <w:t>6,6</w:t>
            </w:r>
          </w:p>
        </w:tc>
        <w:tc>
          <w:tcPr>
            <w:tcW w:w="652" w:type="pct"/>
            <w:shd w:val="clear" w:color="auto" w:fill="FFFFFF" w:themeFill="background1"/>
          </w:tcPr>
          <w:p w:rsidR="00A9384B" w:rsidRPr="0074017C" w:rsidRDefault="00A9384B" w:rsidP="00DC10CD">
            <w:r w:rsidRPr="0074017C">
              <w:t>2,0</w:t>
            </w:r>
          </w:p>
        </w:tc>
        <w:tc>
          <w:tcPr>
            <w:tcW w:w="831" w:type="pct"/>
            <w:shd w:val="clear" w:color="auto" w:fill="FFFFFF" w:themeFill="background1"/>
          </w:tcPr>
          <w:p w:rsidR="00A9384B" w:rsidRPr="0074017C" w:rsidRDefault="00A9384B" w:rsidP="00DC10CD">
            <w:r w:rsidRPr="0074017C">
              <w:t>4,6</w:t>
            </w:r>
          </w:p>
        </w:tc>
      </w:tr>
      <w:tr w:rsidR="00A9384B" w:rsidRPr="0074017C" w:rsidTr="00A9384B">
        <w:tc>
          <w:tcPr>
            <w:tcW w:w="1090" w:type="pct"/>
            <w:shd w:val="clear" w:color="auto" w:fill="FFFFFF" w:themeFill="background1"/>
          </w:tcPr>
          <w:p w:rsidR="00A9384B" w:rsidRPr="0074017C" w:rsidRDefault="00A9384B" w:rsidP="00DC10CD">
            <w:r w:rsidRPr="0074017C">
              <w:t>Bisoprolol 10 mg</w:t>
            </w:r>
          </w:p>
        </w:tc>
        <w:tc>
          <w:tcPr>
            <w:tcW w:w="458" w:type="pct"/>
            <w:shd w:val="clear" w:color="auto" w:fill="FFFFFF" w:themeFill="background1"/>
          </w:tcPr>
          <w:p w:rsidR="00A9384B" w:rsidRPr="0074017C" w:rsidRDefault="00A9384B" w:rsidP="00DC10CD">
            <w:r w:rsidRPr="0074017C">
              <w:t>tbl</w:t>
            </w:r>
          </w:p>
        </w:tc>
        <w:tc>
          <w:tcPr>
            <w:tcW w:w="745" w:type="pct"/>
            <w:shd w:val="clear" w:color="auto" w:fill="FFFFFF" w:themeFill="background1"/>
          </w:tcPr>
          <w:p w:rsidR="00A9384B" w:rsidRPr="0074017C" w:rsidRDefault="00A9384B" w:rsidP="00DC10CD">
            <w:r w:rsidRPr="0074017C">
              <w:t>Tensec</w:t>
            </w:r>
          </w:p>
        </w:tc>
        <w:tc>
          <w:tcPr>
            <w:tcW w:w="745" w:type="pct"/>
            <w:shd w:val="clear" w:color="auto" w:fill="FFFFFF" w:themeFill="background1"/>
          </w:tcPr>
          <w:p w:rsidR="00A9384B" w:rsidRPr="0074017C" w:rsidRDefault="00A9384B" w:rsidP="00DC10CD">
            <w:r w:rsidRPr="0074017C">
              <w:t>Hemofarm</w:t>
            </w:r>
          </w:p>
        </w:tc>
        <w:tc>
          <w:tcPr>
            <w:tcW w:w="478" w:type="pct"/>
            <w:shd w:val="clear" w:color="auto" w:fill="FFFFFF" w:themeFill="background1"/>
          </w:tcPr>
          <w:p w:rsidR="00A9384B" w:rsidRPr="0074017C" w:rsidRDefault="00A9384B" w:rsidP="00DC10CD">
            <w:r w:rsidRPr="0074017C">
              <w:t>7,5</w:t>
            </w:r>
          </w:p>
        </w:tc>
        <w:tc>
          <w:tcPr>
            <w:tcW w:w="652" w:type="pct"/>
            <w:shd w:val="clear" w:color="auto" w:fill="FFFFFF" w:themeFill="background1"/>
          </w:tcPr>
          <w:p w:rsidR="00A9384B" w:rsidRPr="0074017C" w:rsidRDefault="00A9384B" w:rsidP="00DC10CD">
            <w:r w:rsidRPr="0074017C">
              <w:t>2,2</w:t>
            </w:r>
          </w:p>
        </w:tc>
        <w:tc>
          <w:tcPr>
            <w:tcW w:w="831" w:type="pct"/>
            <w:shd w:val="clear" w:color="auto" w:fill="FFFFFF" w:themeFill="background1"/>
          </w:tcPr>
          <w:p w:rsidR="00A9384B" w:rsidRPr="0074017C" w:rsidRDefault="00A9384B" w:rsidP="00DC10CD">
            <w:r w:rsidRPr="0074017C">
              <w:t>5,3</w:t>
            </w:r>
          </w:p>
        </w:tc>
      </w:tr>
      <w:tr w:rsidR="001417E1" w:rsidRPr="0074017C" w:rsidTr="001417E1">
        <w:tc>
          <w:tcPr>
            <w:tcW w:w="1090" w:type="pct"/>
            <w:shd w:val="clear" w:color="auto" w:fill="D9D9D9" w:themeFill="background1" w:themeFillShade="D9"/>
          </w:tcPr>
          <w:p w:rsidR="001417E1" w:rsidRPr="0074017C" w:rsidRDefault="001417E1" w:rsidP="00DC10CD">
            <w:r w:rsidRPr="0074017C">
              <w:t>Valsartan 80 mg</w:t>
            </w:r>
          </w:p>
        </w:tc>
        <w:tc>
          <w:tcPr>
            <w:tcW w:w="458" w:type="pct"/>
            <w:shd w:val="clear" w:color="auto" w:fill="D9D9D9" w:themeFill="background1" w:themeFillShade="D9"/>
          </w:tcPr>
          <w:p w:rsidR="001417E1" w:rsidRPr="0074017C" w:rsidRDefault="001417E1" w:rsidP="00DC10CD">
            <w:r w:rsidRPr="0074017C">
              <w:t>tbl</w:t>
            </w:r>
          </w:p>
        </w:tc>
        <w:tc>
          <w:tcPr>
            <w:tcW w:w="745" w:type="pct"/>
            <w:shd w:val="clear" w:color="auto" w:fill="D9D9D9" w:themeFill="background1" w:themeFillShade="D9"/>
          </w:tcPr>
          <w:p w:rsidR="001417E1" w:rsidRPr="0074017C" w:rsidRDefault="001417E1" w:rsidP="00DC10CD">
            <w:r w:rsidRPr="0074017C">
              <w:t>Valsartan</w:t>
            </w:r>
          </w:p>
        </w:tc>
        <w:tc>
          <w:tcPr>
            <w:tcW w:w="745" w:type="pct"/>
            <w:shd w:val="clear" w:color="auto" w:fill="D9D9D9" w:themeFill="background1" w:themeFillShade="D9"/>
          </w:tcPr>
          <w:p w:rsidR="001417E1" w:rsidRPr="0074017C" w:rsidRDefault="001417E1" w:rsidP="00DC10CD">
            <w:r w:rsidRPr="0074017C">
              <w:t>Profarma</w:t>
            </w:r>
          </w:p>
        </w:tc>
        <w:tc>
          <w:tcPr>
            <w:tcW w:w="478" w:type="pct"/>
            <w:shd w:val="clear" w:color="auto" w:fill="D9D9D9" w:themeFill="background1" w:themeFillShade="D9"/>
          </w:tcPr>
          <w:p w:rsidR="001417E1" w:rsidRPr="0074017C" w:rsidRDefault="001417E1" w:rsidP="00DC10CD">
            <w:r w:rsidRPr="0074017C">
              <w:t>5,0</w:t>
            </w:r>
          </w:p>
        </w:tc>
        <w:tc>
          <w:tcPr>
            <w:tcW w:w="652" w:type="pct"/>
            <w:shd w:val="clear" w:color="auto" w:fill="D9D9D9" w:themeFill="background1" w:themeFillShade="D9"/>
          </w:tcPr>
          <w:p w:rsidR="001417E1" w:rsidRPr="0074017C" w:rsidRDefault="001417E1" w:rsidP="00DC10CD">
            <w:r w:rsidRPr="0074017C">
              <w:t>2,5</w:t>
            </w:r>
          </w:p>
        </w:tc>
        <w:tc>
          <w:tcPr>
            <w:tcW w:w="831" w:type="pct"/>
            <w:shd w:val="clear" w:color="auto" w:fill="D9D9D9" w:themeFill="background1" w:themeFillShade="D9"/>
          </w:tcPr>
          <w:p w:rsidR="001417E1" w:rsidRPr="0074017C" w:rsidRDefault="001417E1" w:rsidP="00DC10CD">
            <w:r w:rsidRPr="0074017C">
              <w:t>2,5</w:t>
            </w:r>
          </w:p>
        </w:tc>
      </w:tr>
      <w:tr w:rsidR="001417E1" w:rsidRPr="0074017C" w:rsidTr="001417E1">
        <w:tc>
          <w:tcPr>
            <w:tcW w:w="1090" w:type="pct"/>
            <w:shd w:val="clear" w:color="auto" w:fill="D9D9D9" w:themeFill="background1" w:themeFillShade="D9"/>
          </w:tcPr>
          <w:p w:rsidR="001417E1" w:rsidRPr="0074017C" w:rsidRDefault="001417E1" w:rsidP="00DC10CD">
            <w:r w:rsidRPr="0074017C">
              <w:t>Valsartan 160 mg</w:t>
            </w:r>
          </w:p>
        </w:tc>
        <w:tc>
          <w:tcPr>
            <w:tcW w:w="458" w:type="pct"/>
            <w:shd w:val="clear" w:color="auto" w:fill="D9D9D9" w:themeFill="background1" w:themeFillShade="D9"/>
          </w:tcPr>
          <w:p w:rsidR="001417E1" w:rsidRPr="0074017C" w:rsidRDefault="001417E1" w:rsidP="00DC10CD">
            <w:r w:rsidRPr="0074017C">
              <w:t>tbl</w:t>
            </w:r>
          </w:p>
        </w:tc>
        <w:tc>
          <w:tcPr>
            <w:tcW w:w="745" w:type="pct"/>
            <w:shd w:val="clear" w:color="auto" w:fill="D9D9D9" w:themeFill="background1" w:themeFillShade="D9"/>
          </w:tcPr>
          <w:p w:rsidR="001417E1" w:rsidRPr="0074017C" w:rsidRDefault="001417E1" w:rsidP="00DC10CD">
            <w:r w:rsidRPr="0074017C">
              <w:t>Valsartan</w:t>
            </w:r>
          </w:p>
        </w:tc>
        <w:tc>
          <w:tcPr>
            <w:tcW w:w="745" w:type="pct"/>
            <w:shd w:val="clear" w:color="auto" w:fill="D9D9D9" w:themeFill="background1" w:themeFillShade="D9"/>
          </w:tcPr>
          <w:p w:rsidR="001417E1" w:rsidRPr="0074017C" w:rsidRDefault="001417E1" w:rsidP="00DC10CD">
            <w:r w:rsidRPr="0074017C">
              <w:t>SocidadeTecnico</w:t>
            </w:r>
          </w:p>
        </w:tc>
        <w:tc>
          <w:tcPr>
            <w:tcW w:w="478" w:type="pct"/>
            <w:shd w:val="clear" w:color="auto" w:fill="D9D9D9" w:themeFill="background1" w:themeFillShade="D9"/>
          </w:tcPr>
          <w:p w:rsidR="001417E1" w:rsidRPr="0074017C" w:rsidRDefault="001417E1" w:rsidP="00DC10CD">
            <w:r w:rsidRPr="0074017C">
              <w:t>22,6</w:t>
            </w:r>
          </w:p>
        </w:tc>
        <w:tc>
          <w:tcPr>
            <w:tcW w:w="652" w:type="pct"/>
            <w:shd w:val="clear" w:color="auto" w:fill="D9D9D9" w:themeFill="background1" w:themeFillShade="D9"/>
          </w:tcPr>
          <w:p w:rsidR="001417E1" w:rsidRPr="0074017C" w:rsidRDefault="001417E1" w:rsidP="00DC10CD">
            <w:r w:rsidRPr="0074017C">
              <w:t>11,3</w:t>
            </w:r>
          </w:p>
        </w:tc>
        <w:tc>
          <w:tcPr>
            <w:tcW w:w="831" w:type="pct"/>
            <w:shd w:val="clear" w:color="auto" w:fill="D9D9D9" w:themeFill="background1" w:themeFillShade="D9"/>
          </w:tcPr>
          <w:p w:rsidR="001417E1" w:rsidRPr="0074017C" w:rsidRDefault="001417E1" w:rsidP="00DC10CD">
            <w:r w:rsidRPr="0074017C">
              <w:t>1</w:t>
            </w:r>
            <w:r w:rsidR="00E77984" w:rsidRPr="0074017C">
              <w:t>1</w:t>
            </w:r>
            <w:r w:rsidRPr="0074017C">
              <w:t>,3</w:t>
            </w:r>
          </w:p>
        </w:tc>
      </w:tr>
    </w:tbl>
    <w:p w:rsidR="001417E1" w:rsidRPr="0074017C" w:rsidRDefault="001417E1" w:rsidP="00DC10CD">
      <w:pPr>
        <w:spacing w:after="0" w:line="240" w:lineRule="auto"/>
        <w:jc w:val="both"/>
      </w:pPr>
    </w:p>
    <w:p w:rsidR="00A9384B" w:rsidRPr="0074017C" w:rsidRDefault="007F13F9" w:rsidP="00DC10CD">
      <w:pPr>
        <w:spacing w:after="0" w:line="240" w:lineRule="auto"/>
        <w:jc w:val="both"/>
      </w:pPr>
      <w:r w:rsidRPr="0074017C">
        <w:t>In the example of m</w:t>
      </w:r>
      <w:r w:rsidR="00312CCE" w:rsidRPr="0074017C">
        <w:t>etoprolol (d</w:t>
      </w:r>
      <w:r w:rsidR="00A9384B" w:rsidRPr="0074017C">
        <w:t>efined daily dose is 150 mg), it would appear that if the 100 mg concentration tablet</w:t>
      </w:r>
      <w:r w:rsidR="0003184F" w:rsidRPr="0074017C">
        <w:t xml:space="preserve"> produced by Profarma</w:t>
      </w:r>
      <w:r w:rsidR="00A9384B" w:rsidRPr="0074017C">
        <w:t xml:space="preserve"> is prescribed</w:t>
      </w:r>
      <w:r w:rsidR="0003184F" w:rsidRPr="0074017C">
        <w:t xml:space="preserve">, the HIF pays the DDD at a reimbursed price of 2,85 LEK while if the 200 mg tablet produced by Mibe is prescribed, it pays the DDD at a reimbursed </w:t>
      </w:r>
      <w:r w:rsidR="0003184F" w:rsidRPr="0074017C">
        <w:lastRenderedPageBreak/>
        <w:t>price of 14,775 LEK – or 7 times higher.</w:t>
      </w:r>
      <w:r w:rsidR="00CD67F4" w:rsidRPr="0074017C">
        <w:t xml:space="preserve"> The same applies to the copayment. </w:t>
      </w:r>
      <w:r w:rsidR="002C19B8" w:rsidRPr="0074017C">
        <w:t>In other words, p</w:t>
      </w:r>
      <w:r w:rsidR="00CD67F4" w:rsidRPr="0074017C">
        <w:t xml:space="preserve">rescribing two 100 mg tablets compared to prescribing one 200 mg tablet would save the </w:t>
      </w:r>
      <w:r w:rsidR="008D279A" w:rsidRPr="0074017C">
        <w:t>HIF 15,9</w:t>
      </w:r>
      <w:r w:rsidR="00CD67F4" w:rsidRPr="0074017C">
        <w:t xml:space="preserve"> LEK</w:t>
      </w:r>
      <w:r w:rsidR="00FE18B3" w:rsidRPr="0074017C">
        <w:t xml:space="preserve"> or 80% of the reimbursed price</w:t>
      </w:r>
      <w:r w:rsidR="00CD67F4" w:rsidRPr="0074017C">
        <w:t xml:space="preserve">. </w:t>
      </w:r>
    </w:p>
    <w:p w:rsidR="00A9384B" w:rsidRPr="0074017C" w:rsidRDefault="00A9384B" w:rsidP="00DC10CD">
      <w:pPr>
        <w:spacing w:after="0" w:line="240" w:lineRule="auto"/>
        <w:jc w:val="both"/>
      </w:pPr>
    </w:p>
    <w:p w:rsidR="008D279A" w:rsidRPr="0074017C" w:rsidRDefault="0003184F" w:rsidP="00DC10CD">
      <w:pPr>
        <w:spacing w:after="0" w:line="240" w:lineRule="auto"/>
        <w:jc w:val="both"/>
      </w:pPr>
      <w:r w:rsidRPr="0074017C">
        <w:t xml:space="preserve">The example of bisoprolol is interesting as both 5 mg and 10 mg </w:t>
      </w:r>
      <w:r w:rsidR="00312CCE" w:rsidRPr="0074017C">
        <w:t>tablets</w:t>
      </w:r>
      <w:r w:rsidRPr="0074017C">
        <w:t xml:space="preserve"> are produced by the same company – Hemofarm. Hemofarm’s packages of Tensec contain 30 tablets. </w:t>
      </w:r>
      <w:r w:rsidR="002C19B8" w:rsidRPr="0074017C">
        <w:t xml:space="preserve">150 mg of bisoprolol costs the HIF 138 LEK if prescribed in 5 mg tablets and almost half - 79,5 LEK if prescribed in 10 mg tablets.  </w:t>
      </w:r>
    </w:p>
    <w:p w:rsidR="008D279A" w:rsidRPr="0074017C" w:rsidRDefault="008D279A" w:rsidP="00DC10CD">
      <w:pPr>
        <w:spacing w:after="0" w:line="240" w:lineRule="auto"/>
        <w:jc w:val="both"/>
      </w:pPr>
    </w:p>
    <w:p w:rsidR="001417E1" w:rsidRPr="0074017C" w:rsidRDefault="001417E1" w:rsidP="00DC10CD">
      <w:pPr>
        <w:spacing w:after="0" w:line="240" w:lineRule="auto"/>
        <w:jc w:val="both"/>
      </w:pPr>
      <w:r w:rsidRPr="0074017C">
        <w:t>For 160 mg of valsartane, the HIF will pay 1</w:t>
      </w:r>
      <w:r w:rsidR="00E77984" w:rsidRPr="0074017C">
        <w:t>1</w:t>
      </w:r>
      <w:r w:rsidRPr="0074017C">
        <w:t xml:space="preserve">,3 LEK if prescribed in 160 mg tablet, but will pay 5 LEK </w:t>
      </w:r>
      <w:r w:rsidR="00FE18B3" w:rsidRPr="0074017C">
        <w:t>(</w:t>
      </w:r>
      <w:r w:rsidR="002562E3" w:rsidRPr="0074017C">
        <w:t>2,26 times less</w:t>
      </w:r>
      <w:r w:rsidR="00FE18B3" w:rsidRPr="0074017C">
        <w:t xml:space="preserve">) </w:t>
      </w:r>
      <w:r w:rsidRPr="0074017C">
        <w:t>if prescribed in 80 mg tablets. Copayments paid are 5 LEK ad 11,3 LEK</w:t>
      </w:r>
      <w:r w:rsidR="00C3066E" w:rsidRPr="0074017C">
        <w:t xml:space="preserve"> respectively</w:t>
      </w:r>
      <w:r w:rsidRPr="0074017C">
        <w:t xml:space="preserve">. </w:t>
      </w:r>
    </w:p>
    <w:p w:rsidR="001417E1" w:rsidRPr="0074017C" w:rsidRDefault="001417E1" w:rsidP="00DC10CD">
      <w:pPr>
        <w:spacing w:after="0" w:line="240" w:lineRule="auto"/>
        <w:jc w:val="both"/>
      </w:pPr>
    </w:p>
    <w:p w:rsidR="003936D3" w:rsidRPr="0074017C" w:rsidRDefault="003936D3" w:rsidP="00DC10CD">
      <w:pPr>
        <w:spacing w:after="0" w:line="240" w:lineRule="auto"/>
        <w:jc w:val="both"/>
      </w:pPr>
      <w:r w:rsidRPr="0074017C">
        <w:t>Some</w:t>
      </w:r>
      <w:r w:rsidR="00227212" w:rsidRPr="0074017C">
        <w:t xml:space="preserve">differences in prices of units doses related to strength are normal </w:t>
      </w:r>
      <w:r w:rsidRPr="0074017C">
        <w:t xml:space="preserve">as unit doses in smaller packs internationally tend to be more expensive than those in larger packs due to production costs. In addition, smaller doses are necessary for some patients and some tablets can be </w:t>
      </w:r>
      <w:r w:rsidR="00E76C17" w:rsidRPr="0074017C">
        <w:t xml:space="preserve">split in half and others can’t - </w:t>
      </w:r>
      <w:r w:rsidRPr="0074017C">
        <w:t>s</w:t>
      </w:r>
      <w:r w:rsidR="00E76C17" w:rsidRPr="0074017C">
        <w:t>o not all are interchangeable</w:t>
      </w:r>
      <w:r w:rsidRPr="0074017C">
        <w:t>.</w:t>
      </w:r>
    </w:p>
    <w:p w:rsidR="003936D3" w:rsidRPr="0074017C" w:rsidRDefault="003936D3" w:rsidP="00DC10CD">
      <w:pPr>
        <w:spacing w:after="0" w:line="240" w:lineRule="auto"/>
        <w:jc w:val="both"/>
      </w:pPr>
    </w:p>
    <w:p w:rsidR="009077FD" w:rsidRPr="0074017C" w:rsidRDefault="003936D3" w:rsidP="00DC10CD">
      <w:pPr>
        <w:spacing w:after="0" w:line="240" w:lineRule="auto"/>
        <w:jc w:val="both"/>
      </w:pPr>
      <w:r w:rsidRPr="0074017C">
        <w:t xml:space="preserve">Regardless, the enormous differences in prices demonstrated in the examples clearly indicate that prices of many concentrations could be substantially reduced if </w:t>
      </w:r>
      <w:r w:rsidR="00E76C17" w:rsidRPr="0074017C">
        <w:t xml:space="preserve">reimbursement prices for different concentrations </w:t>
      </w:r>
      <w:r w:rsidRPr="0074017C">
        <w:t>were price referenced.</w:t>
      </w:r>
    </w:p>
    <w:p w:rsidR="009077FD" w:rsidRPr="0074017C" w:rsidRDefault="009077FD" w:rsidP="00DC10CD">
      <w:pPr>
        <w:spacing w:after="0" w:line="240" w:lineRule="auto"/>
        <w:jc w:val="both"/>
      </w:pPr>
    </w:p>
    <w:p w:rsidR="003936D3" w:rsidRPr="0074017C" w:rsidRDefault="00255126" w:rsidP="00DC10CD">
      <w:pPr>
        <w:spacing w:after="0" w:line="240" w:lineRule="auto"/>
        <w:jc w:val="both"/>
      </w:pPr>
      <w:r w:rsidRPr="0074017C">
        <w:t>A comparison ofcosts of the same amount of active substance dispensed in larger</w:t>
      </w:r>
      <w:r w:rsidR="00305B65" w:rsidRPr="0074017C">
        <w:t xml:space="preserve"> unit doses </w:t>
      </w:r>
      <w:r w:rsidR="009077FD" w:rsidRPr="0074017C">
        <w:t xml:space="preserve">vs. smaller doses </w:t>
      </w:r>
      <w:r w:rsidRPr="0074017C">
        <w:t>for</w:t>
      </w:r>
      <w:r w:rsidR="009077FD" w:rsidRPr="0074017C">
        <w:t>only two generics (</w:t>
      </w:r>
      <w:r w:rsidR="00305B65" w:rsidRPr="0074017C">
        <w:t>metoprolol and valsartan</w:t>
      </w:r>
      <w:r w:rsidR="009077FD" w:rsidRPr="0074017C">
        <w:t xml:space="preserve">)indicates the magnitude of potential savings if </w:t>
      </w:r>
      <w:r w:rsidRPr="0074017C">
        <w:t xml:space="preserve">same INN concentrations </w:t>
      </w:r>
      <w:r w:rsidR="00584B44" w:rsidRPr="0074017C">
        <w:t>w</w:t>
      </w:r>
      <w:r w:rsidRPr="0074017C">
        <w:t>ere price referencedfor all substances</w:t>
      </w:r>
      <w:r w:rsidR="009077FD" w:rsidRPr="0074017C">
        <w:t>:</w:t>
      </w:r>
    </w:p>
    <w:p w:rsidR="009077FD" w:rsidRPr="0074017C" w:rsidRDefault="009077FD" w:rsidP="00DC10CD">
      <w:pPr>
        <w:spacing w:after="0" w:line="240" w:lineRule="auto"/>
        <w:jc w:val="both"/>
      </w:pPr>
    </w:p>
    <w:p w:rsidR="0003184F" w:rsidRPr="0074017C" w:rsidRDefault="00305B65" w:rsidP="00255126">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pPr>
      <w:r w:rsidRPr="0074017C">
        <w:t>In 2013</w:t>
      </w:r>
      <w:r w:rsidR="00584B44" w:rsidRPr="0074017C">
        <w:t>,</w:t>
      </w:r>
      <w:r w:rsidRPr="0074017C">
        <w:t xml:space="preserve"> the HIF paid 43820 Lek for 200 mg metoprolol tablets. If the same quantity of metoprolol had been dispensed in 100 mg tablets instead, the HIF would have saved a total of 35 056 Lek.</w:t>
      </w:r>
    </w:p>
    <w:p w:rsidR="00B96C50" w:rsidRPr="0074017C" w:rsidRDefault="00305B65" w:rsidP="00255126">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pPr>
      <w:r w:rsidRPr="0074017C">
        <w:t>In 2013</w:t>
      </w:r>
      <w:r w:rsidR="00584B44" w:rsidRPr="0074017C">
        <w:t>,</w:t>
      </w:r>
      <w:r w:rsidRPr="0074017C">
        <w:t xml:space="preserve"> the HIF paid 53771040 Lek for 160 mg valsar</w:t>
      </w:r>
      <w:r w:rsidR="00584B44" w:rsidRPr="0074017C">
        <w:t>t</w:t>
      </w:r>
      <w:r w:rsidRPr="0074017C">
        <w:t>an tablets. If the same amount of valsartan had been dispensed in 80 mg tablets instead, the HIF would have saved as much as 32 262 624 Lek.</w:t>
      </w:r>
    </w:p>
    <w:p w:rsidR="00305B65" w:rsidRPr="0074017C" w:rsidRDefault="00305B65" w:rsidP="00DC10CD">
      <w:pPr>
        <w:spacing w:after="0" w:line="240" w:lineRule="auto"/>
        <w:jc w:val="both"/>
      </w:pPr>
    </w:p>
    <w:p w:rsidR="00305B65" w:rsidRPr="0074017C" w:rsidRDefault="00305B65" w:rsidP="00DC10CD">
      <w:pPr>
        <w:spacing w:after="0" w:line="240" w:lineRule="auto"/>
        <w:jc w:val="both"/>
      </w:pPr>
    </w:p>
    <w:p w:rsidR="0091777B" w:rsidRPr="0074017C" w:rsidRDefault="00BE7EF0" w:rsidP="00DC10CD">
      <w:pPr>
        <w:pStyle w:val="Heading4"/>
        <w:spacing w:before="0" w:line="240" w:lineRule="auto"/>
      </w:pPr>
      <w:r w:rsidRPr="0074017C">
        <w:t xml:space="preserve">Reimbursed Price for </w:t>
      </w:r>
      <w:r w:rsidR="00B96C50" w:rsidRPr="0074017C">
        <w:t>Combinations versus individual components</w:t>
      </w:r>
    </w:p>
    <w:p w:rsidR="0091777B" w:rsidRPr="0074017C" w:rsidRDefault="0091777B" w:rsidP="00DC10CD">
      <w:pPr>
        <w:spacing w:after="0" w:line="240" w:lineRule="auto"/>
        <w:jc w:val="both"/>
      </w:pPr>
    </w:p>
    <w:p w:rsidR="00E76C17" w:rsidRPr="0074017C" w:rsidRDefault="00E76C17" w:rsidP="00DC10CD">
      <w:pPr>
        <w:spacing w:after="0" w:line="240" w:lineRule="auto"/>
        <w:jc w:val="both"/>
      </w:pPr>
      <w:r w:rsidRPr="0074017C">
        <w:t xml:space="preserve">The HIF overpays a substantial proportion of combination tablets. This is also a direct result of the current price setting methodology based solely on negotiations during which international prices by </w:t>
      </w:r>
      <w:r w:rsidR="00875271" w:rsidRPr="0074017C">
        <w:t>brand are compared. Table 1</w:t>
      </w:r>
      <w:r w:rsidR="00D076D5" w:rsidRPr="0074017C">
        <w:t>4</w:t>
      </w:r>
      <w:r w:rsidRPr="0074017C">
        <w:t xml:space="preserve"> provides two examples. It compares the prices of combination tablets compared to prices paid for individual components.</w:t>
      </w:r>
    </w:p>
    <w:p w:rsidR="00E76C17" w:rsidRPr="0074017C" w:rsidRDefault="00E76C17" w:rsidP="00DC10CD">
      <w:pPr>
        <w:spacing w:after="0" w:line="240" w:lineRule="auto"/>
        <w:jc w:val="both"/>
      </w:pPr>
    </w:p>
    <w:p w:rsidR="00E76C17" w:rsidRPr="0074017C" w:rsidRDefault="00875271" w:rsidP="00DC10CD">
      <w:pPr>
        <w:spacing w:after="0" w:line="240" w:lineRule="auto"/>
        <w:jc w:val="both"/>
      </w:pPr>
      <w:r w:rsidRPr="0074017C">
        <w:t>Table 1</w:t>
      </w:r>
      <w:r w:rsidR="00D076D5" w:rsidRPr="0074017C">
        <w:t>4</w:t>
      </w:r>
      <w:r w:rsidR="00A93829" w:rsidRPr="0074017C">
        <w:t xml:space="preserve"> - Price comparisons of selected combination products</w:t>
      </w:r>
    </w:p>
    <w:tbl>
      <w:tblPr>
        <w:tblStyle w:val="TableGrid"/>
        <w:tblW w:w="5000" w:type="pct"/>
        <w:tblLook w:val="04A0"/>
      </w:tblPr>
      <w:tblGrid>
        <w:gridCol w:w="2023"/>
        <w:gridCol w:w="812"/>
        <w:gridCol w:w="1362"/>
        <w:gridCol w:w="1817"/>
        <w:gridCol w:w="850"/>
        <w:gridCol w:w="1184"/>
        <w:gridCol w:w="1528"/>
      </w:tblGrid>
      <w:tr w:rsidR="00B96C50" w:rsidRPr="0074017C" w:rsidTr="00227212">
        <w:tc>
          <w:tcPr>
            <w:tcW w:w="1090" w:type="pct"/>
          </w:tcPr>
          <w:p w:rsidR="00B96C50" w:rsidRPr="0074017C" w:rsidRDefault="00B96C50" w:rsidP="00DC10CD">
            <w:pPr>
              <w:jc w:val="both"/>
              <w:rPr>
                <w:b/>
              </w:rPr>
            </w:pPr>
            <w:r w:rsidRPr="0074017C">
              <w:rPr>
                <w:b/>
              </w:rPr>
              <w:t>INN</w:t>
            </w:r>
          </w:p>
        </w:tc>
        <w:tc>
          <w:tcPr>
            <w:tcW w:w="458" w:type="pct"/>
          </w:tcPr>
          <w:p w:rsidR="00B96C50" w:rsidRPr="0074017C" w:rsidRDefault="00B96C50" w:rsidP="00DC10CD">
            <w:pPr>
              <w:jc w:val="both"/>
              <w:rPr>
                <w:b/>
              </w:rPr>
            </w:pPr>
            <w:r w:rsidRPr="0074017C">
              <w:rPr>
                <w:b/>
              </w:rPr>
              <w:t>Form</w:t>
            </w:r>
          </w:p>
        </w:tc>
        <w:tc>
          <w:tcPr>
            <w:tcW w:w="745" w:type="pct"/>
          </w:tcPr>
          <w:p w:rsidR="00B96C50" w:rsidRPr="0074017C" w:rsidRDefault="00B96C50" w:rsidP="00DC10CD">
            <w:pPr>
              <w:jc w:val="both"/>
              <w:rPr>
                <w:b/>
              </w:rPr>
            </w:pPr>
            <w:r w:rsidRPr="0074017C">
              <w:rPr>
                <w:b/>
              </w:rPr>
              <w:t>Brand name</w:t>
            </w:r>
          </w:p>
        </w:tc>
        <w:tc>
          <w:tcPr>
            <w:tcW w:w="745" w:type="pct"/>
          </w:tcPr>
          <w:p w:rsidR="00B96C50" w:rsidRPr="0074017C" w:rsidRDefault="00B96C50" w:rsidP="00DC10CD">
            <w:pPr>
              <w:jc w:val="both"/>
              <w:rPr>
                <w:b/>
              </w:rPr>
            </w:pPr>
            <w:r w:rsidRPr="0074017C">
              <w:rPr>
                <w:b/>
              </w:rPr>
              <w:t>MAH</w:t>
            </w:r>
          </w:p>
        </w:tc>
        <w:tc>
          <w:tcPr>
            <w:tcW w:w="478" w:type="pct"/>
          </w:tcPr>
          <w:p w:rsidR="00B96C50" w:rsidRPr="0074017C" w:rsidRDefault="00B96C50" w:rsidP="00DC10CD">
            <w:pPr>
              <w:jc w:val="both"/>
              <w:rPr>
                <w:b/>
              </w:rPr>
            </w:pPr>
            <w:r w:rsidRPr="0074017C">
              <w:rPr>
                <w:b/>
              </w:rPr>
              <w:t xml:space="preserve">Total price </w:t>
            </w:r>
          </w:p>
        </w:tc>
        <w:tc>
          <w:tcPr>
            <w:tcW w:w="652" w:type="pct"/>
          </w:tcPr>
          <w:p w:rsidR="00B96C50" w:rsidRPr="0074017C" w:rsidRDefault="00B96C50" w:rsidP="00DC10CD">
            <w:pPr>
              <w:jc w:val="both"/>
              <w:rPr>
                <w:b/>
              </w:rPr>
            </w:pPr>
            <w:r w:rsidRPr="0074017C">
              <w:rPr>
                <w:b/>
              </w:rPr>
              <w:t>Co-payment</w:t>
            </w:r>
          </w:p>
        </w:tc>
        <w:tc>
          <w:tcPr>
            <w:tcW w:w="831" w:type="pct"/>
          </w:tcPr>
          <w:p w:rsidR="00B96C50" w:rsidRPr="0074017C" w:rsidRDefault="00B96C50" w:rsidP="00DC10CD">
            <w:pPr>
              <w:jc w:val="both"/>
              <w:rPr>
                <w:b/>
              </w:rPr>
            </w:pPr>
            <w:r w:rsidRPr="0074017C">
              <w:rPr>
                <w:b/>
              </w:rPr>
              <w:t>Reimbursed price</w:t>
            </w:r>
          </w:p>
        </w:tc>
      </w:tr>
      <w:tr w:rsidR="00B96C50" w:rsidRPr="0074017C" w:rsidTr="00227212">
        <w:tc>
          <w:tcPr>
            <w:tcW w:w="1090" w:type="pct"/>
            <w:shd w:val="clear" w:color="auto" w:fill="D9D9D9" w:themeFill="background1" w:themeFillShade="D9"/>
          </w:tcPr>
          <w:p w:rsidR="00B96C50" w:rsidRPr="0074017C" w:rsidRDefault="00B96C50" w:rsidP="00DC10CD">
            <w:r w:rsidRPr="0074017C">
              <w:t>Atorvastatin 10mg +amlodipine 10mg</w:t>
            </w:r>
          </w:p>
        </w:tc>
        <w:tc>
          <w:tcPr>
            <w:tcW w:w="458" w:type="pct"/>
            <w:shd w:val="clear" w:color="auto" w:fill="D9D9D9" w:themeFill="background1" w:themeFillShade="D9"/>
          </w:tcPr>
          <w:p w:rsidR="00B96C50" w:rsidRPr="0074017C" w:rsidRDefault="00B96C50" w:rsidP="00DC10CD">
            <w:r w:rsidRPr="0074017C">
              <w:t>tbl</w:t>
            </w:r>
          </w:p>
        </w:tc>
        <w:tc>
          <w:tcPr>
            <w:tcW w:w="745" w:type="pct"/>
            <w:shd w:val="clear" w:color="auto" w:fill="D9D9D9" w:themeFill="background1" w:themeFillShade="D9"/>
          </w:tcPr>
          <w:p w:rsidR="00B96C50" w:rsidRPr="0074017C" w:rsidRDefault="00B96C50" w:rsidP="00DC10CD">
            <w:r w:rsidRPr="0074017C">
              <w:t>Caduet</w:t>
            </w:r>
          </w:p>
        </w:tc>
        <w:tc>
          <w:tcPr>
            <w:tcW w:w="745" w:type="pct"/>
            <w:shd w:val="clear" w:color="auto" w:fill="D9D9D9" w:themeFill="background1" w:themeFillShade="D9"/>
          </w:tcPr>
          <w:p w:rsidR="00B96C50" w:rsidRPr="0074017C" w:rsidRDefault="00B96C50" w:rsidP="00DC10CD">
            <w:r w:rsidRPr="0074017C">
              <w:t>Pfizer</w:t>
            </w:r>
          </w:p>
        </w:tc>
        <w:tc>
          <w:tcPr>
            <w:tcW w:w="478" w:type="pct"/>
            <w:shd w:val="clear" w:color="auto" w:fill="D9D9D9" w:themeFill="background1" w:themeFillShade="D9"/>
          </w:tcPr>
          <w:p w:rsidR="00B96C50" w:rsidRPr="0074017C" w:rsidRDefault="00B96C50" w:rsidP="00DC10CD">
            <w:r w:rsidRPr="0074017C">
              <w:t>66,3</w:t>
            </w:r>
          </w:p>
        </w:tc>
        <w:tc>
          <w:tcPr>
            <w:tcW w:w="652" w:type="pct"/>
            <w:shd w:val="clear" w:color="auto" w:fill="D9D9D9" w:themeFill="background1" w:themeFillShade="D9"/>
          </w:tcPr>
          <w:p w:rsidR="00B96C50" w:rsidRPr="0074017C" w:rsidRDefault="00B96C50" w:rsidP="00DC10CD">
            <w:r w:rsidRPr="0074017C">
              <w:t>33,2</w:t>
            </w:r>
          </w:p>
        </w:tc>
        <w:tc>
          <w:tcPr>
            <w:tcW w:w="831" w:type="pct"/>
            <w:shd w:val="clear" w:color="auto" w:fill="D9D9D9" w:themeFill="background1" w:themeFillShade="D9"/>
          </w:tcPr>
          <w:p w:rsidR="00B96C50" w:rsidRPr="0074017C" w:rsidRDefault="00B96C50" w:rsidP="00DC10CD">
            <w:r w:rsidRPr="0074017C">
              <w:t>33,1</w:t>
            </w:r>
          </w:p>
        </w:tc>
      </w:tr>
      <w:tr w:rsidR="00B96C50" w:rsidRPr="0074017C" w:rsidTr="00227212">
        <w:tc>
          <w:tcPr>
            <w:tcW w:w="1090" w:type="pct"/>
            <w:shd w:val="clear" w:color="auto" w:fill="D9D9D9" w:themeFill="background1" w:themeFillShade="D9"/>
          </w:tcPr>
          <w:p w:rsidR="00B96C50" w:rsidRPr="0074017C" w:rsidRDefault="00B96C50" w:rsidP="00DC10CD">
            <w:r w:rsidRPr="0074017C">
              <w:t>Atorvastatine 10mg</w:t>
            </w:r>
          </w:p>
        </w:tc>
        <w:tc>
          <w:tcPr>
            <w:tcW w:w="458" w:type="pct"/>
            <w:shd w:val="clear" w:color="auto" w:fill="D9D9D9" w:themeFill="background1" w:themeFillShade="D9"/>
          </w:tcPr>
          <w:p w:rsidR="00B96C50" w:rsidRPr="0074017C" w:rsidRDefault="00B96C50" w:rsidP="00DC10CD">
            <w:r w:rsidRPr="0074017C">
              <w:t>tbl</w:t>
            </w:r>
          </w:p>
        </w:tc>
        <w:tc>
          <w:tcPr>
            <w:tcW w:w="745" w:type="pct"/>
            <w:shd w:val="clear" w:color="auto" w:fill="D9D9D9" w:themeFill="background1" w:themeFillShade="D9"/>
          </w:tcPr>
          <w:p w:rsidR="00B96C50" w:rsidRPr="0074017C" w:rsidRDefault="00B96C50" w:rsidP="00DC10CD">
            <w:r w:rsidRPr="0074017C">
              <w:t>Ateroz</w:t>
            </w:r>
          </w:p>
        </w:tc>
        <w:tc>
          <w:tcPr>
            <w:tcW w:w="745" w:type="pct"/>
            <w:shd w:val="clear" w:color="auto" w:fill="D9D9D9" w:themeFill="background1" w:themeFillShade="D9"/>
          </w:tcPr>
          <w:p w:rsidR="00B96C50" w:rsidRPr="0074017C" w:rsidRDefault="00B96C50" w:rsidP="00DC10CD">
            <w:r w:rsidRPr="0074017C">
              <w:t>BilimIlac</w:t>
            </w:r>
          </w:p>
        </w:tc>
        <w:tc>
          <w:tcPr>
            <w:tcW w:w="478" w:type="pct"/>
            <w:shd w:val="clear" w:color="auto" w:fill="D9D9D9" w:themeFill="background1" w:themeFillShade="D9"/>
          </w:tcPr>
          <w:p w:rsidR="00B96C50" w:rsidRPr="0074017C" w:rsidRDefault="00B96C50" w:rsidP="00DC10CD">
            <w:r w:rsidRPr="0074017C">
              <w:t>6,2</w:t>
            </w:r>
          </w:p>
        </w:tc>
        <w:tc>
          <w:tcPr>
            <w:tcW w:w="652" w:type="pct"/>
            <w:shd w:val="clear" w:color="auto" w:fill="D9D9D9" w:themeFill="background1" w:themeFillShade="D9"/>
          </w:tcPr>
          <w:p w:rsidR="00B96C50" w:rsidRPr="0074017C" w:rsidRDefault="00B96C50" w:rsidP="00DC10CD">
            <w:r w:rsidRPr="0074017C">
              <w:t>3,1</w:t>
            </w:r>
          </w:p>
        </w:tc>
        <w:tc>
          <w:tcPr>
            <w:tcW w:w="831" w:type="pct"/>
            <w:shd w:val="clear" w:color="auto" w:fill="D9D9D9" w:themeFill="background1" w:themeFillShade="D9"/>
          </w:tcPr>
          <w:p w:rsidR="00B96C50" w:rsidRPr="0074017C" w:rsidRDefault="00B96C50" w:rsidP="00DC10CD">
            <w:r w:rsidRPr="0074017C">
              <w:t>3,1</w:t>
            </w:r>
          </w:p>
        </w:tc>
      </w:tr>
      <w:tr w:rsidR="00B96C50" w:rsidRPr="0074017C" w:rsidTr="00227212">
        <w:tc>
          <w:tcPr>
            <w:tcW w:w="1090" w:type="pct"/>
            <w:shd w:val="clear" w:color="auto" w:fill="D9D9D9" w:themeFill="background1" w:themeFillShade="D9"/>
          </w:tcPr>
          <w:p w:rsidR="00B96C50" w:rsidRPr="0074017C" w:rsidRDefault="00B96C50" w:rsidP="00DC10CD">
            <w:r w:rsidRPr="0074017C">
              <w:t>Amlodipine 10mg</w:t>
            </w:r>
          </w:p>
        </w:tc>
        <w:tc>
          <w:tcPr>
            <w:tcW w:w="458" w:type="pct"/>
            <w:shd w:val="clear" w:color="auto" w:fill="D9D9D9" w:themeFill="background1" w:themeFillShade="D9"/>
          </w:tcPr>
          <w:p w:rsidR="00B96C50" w:rsidRPr="0074017C" w:rsidRDefault="00B96C50" w:rsidP="00DC10CD">
            <w:r w:rsidRPr="0074017C">
              <w:t>tbl</w:t>
            </w:r>
          </w:p>
        </w:tc>
        <w:tc>
          <w:tcPr>
            <w:tcW w:w="745" w:type="pct"/>
            <w:shd w:val="clear" w:color="auto" w:fill="D9D9D9" w:themeFill="background1" w:themeFillShade="D9"/>
          </w:tcPr>
          <w:p w:rsidR="00B96C50" w:rsidRPr="0074017C" w:rsidRDefault="00B96C50" w:rsidP="00DC10CD">
            <w:r w:rsidRPr="0074017C">
              <w:t>Amlodipine</w:t>
            </w:r>
          </w:p>
        </w:tc>
        <w:tc>
          <w:tcPr>
            <w:tcW w:w="745" w:type="pct"/>
            <w:shd w:val="clear" w:color="auto" w:fill="D9D9D9" w:themeFill="background1" w:themeFillShade="D9"/>
          </w:tcPr>
          <w:p w:rsidR="00B96C50" w:rsidRPr="0074017C" w:rsidRDefault="00B96C50" w:rsidP="00DC10CD">
            <w:r w:rsidRPr="0074017C">
              <w:t>Profarma</w:t>
            </w:r>
          </w:p>
        </w:tc>
        <w:tc>
          <w:tcPr>
            <w:tcW w:w="478" w:type="pct"/>
            <w:shd w:val="clear" w:color="auto" w:fill="D9D9D9" w:themeFill="background1" w:themeFillShade="D9"/>
          </w:tcPr>
          <w:p w:rsidR="00B96C50" w:rsidRPr="0074017C" w:rsidRDefault="00B96C50" w:rsidP="00DC10CD">
            <w:r w:rsidRPr="0074017C">
              <w:t>1,9</w:t>
            </w:r>
          </w:p>
        </w:tc>
        <w:tc>
          <w:tcPr>
            <w:tcW w:w="652" w:type="pct"/>
            <w:shd w:val="clear" w:color="auto" w:fill="D9D9D9" w:themeFill="background1" w:themeFillShade="D9"/>
          </w:tcPr>
          <w:p w:rsidR="00B96C50" w:rsidRPr="0074017C" w:rsidRDefault="00B96C50" w:rsidP="00DC10CD">
            <w:r w:rsidRPr="0074017C">
              <w:t>0,3</w:t>
            </w:r>
          </w:p>
        </w:tc>
        <w:tc>
          <w:tcPr>
            <w:tcW w:w="831" w:type="pct"/>
            <w:shd w:val="clear" w:color="auto" w:fill="D9D9D9" w:themeFill="background1" w:themeFillShade="D9"/>
          </w:tcPr>
          <w:p w:rsidR="00B96C50" w:rsidRPr="0074017C" w:rsidRDefault="00B96C50" w:rsidP="00DC10CD">
            <w:r w:rsidRPr="0074017C">
              <w:t>1,6</w:t>
            </w:r>
          </w:p>
        </w:tc>
      </w:tr>
      <w:tr w:rsidR="00B96C50" w:rsidRPr="0074017C" w:rsidTr="00B96C50">
        <w:tc>
          <w:tcPr>
            <w:tcW w:w="1090" w:type="pct"/>
            <w:shd w:val="clear" w:color="auto" w:fill="FFFFFF" w:themeFill="background1"/>
          </w:tcPr>
          <w:p w:rsidR="00B96C50" w:rsidRPr="0074017C" w:rsidRDefault="003D61CD" w:rsidP="00DC10CD">
            <w:r w:rsidRPr="0074017C">
              <w:t>Valsartan 160 mg + amlodipine 5 mg</w:t>
            </w:r>
          </w:p>
        </w:tc>
        <w:tc>
          <w:tcPr>
            <w:tcW w:w="458" w:type="pct"/>
            <w:shd w:val="clear" w:color="auto" w:fill="FFFFFF" w:themeFill="background1"/>
          </w:tcPr>
          <w:p w:rsidR="00B96C50" w:rsidRPr="0074017C" w:rsidRDefault="003D61CD" w:rsidP="00DC10CD">
            <w:r w:rsidRPr="0074017C">
              <w:t>tbl</w:t>
            </w:r>
          </w:p>
        </w:tc>
        <w:tc>
          <w:tcPr>
            <w:tcW w:w="745" w:type="pct"/>
            <w:shd w:val="clear" w:color="auto" w:fill="FFFFFF" w:themeFill="background1"/>
          </w:tcPr>
          <w:p w:rsidR="00B96C50" w:rsidRPr="0074017C" w:rsidRDefault="003D61CD" w:rsidP="00DC10CD">
            <w:r w:rsidRPr="0074017C">
              <w:t>Exforge</w:t>
            </w:r>
          </w:p>
        </w:tc>
        <w:tc>
          <w:tcPr>
            <w:tcW w:w="745" w:type="pct"/>
            <w:shd w:val="clear" w:color="auto" w:fill="FFFFFF" w:themeFill="background1"/>
          </w:tcPr>
          <w:p w:rsidR="00B96C50" w:rsidRPr="0074017C" w:rsidRDefault="003D61CD" w:rsidP="00DC10CD">
            <w:r w:rsidRPr="0074017C">
              <w:t>Novartis</w:t>
            </w:r>
          </w:p>
        </w:tc>
        <w:tc>
          <w:tcPr>
            <w:tcW w:w="478" w:type="pct"/>
            <w:shd w:val="clear" w:color="auto" w:fill="FFFFFF" w:themeFill="background1"/>
          </w:tcPr>
          <w:p w:rsidR="00B96C50" w:rsidRPr="0074017C" w:rsidRDefault="003D61CD" w:rsidP="00DC10CD">
            <w:r w:rsidRPr="0074017C">
              <w:t>150,4</w:t>
            </w:r>
          </w:p>
        </w:tc>
        <w:tc>
          <w:tcPr>
            <w:tcW w:w="652" w:type="pct"/>
            <w:shd w:val="clear" w:color="auto" w:fill="FFFFFF" w:themeFill="background1"/>
          </w:tcPr>
          <w:p w:rsidR="00B96C50" w:rsidRPr="0074017C" w:rsidRDefault="003D61CD" w:rsidP="00DC10CD">
            <w:r w:rsidRPr="0074017C">
              <w:t>75,2</w:t>
            </w:r>
          </w:p>
        </w:tc>
        <w:tc>
          <w:tcPr>
            <w:tcW w:w="831" w:type="pct"/>
            <w:shd w:val="clear" w:color="auto" w:fill="FFFFFF" w:themeFill="background1"/>
          </w:tcPr>
          <w:p w:rsidR="00B96C50" w:rsidRPr="0074017C" w:rsidRDefault="003D61CD" w:rsidP="00DC10CD">
            <w:r w:rsidRPr="0074017C">
              <w:t>75,2</w:t>
            </w:r>
          </w:p>
        </w:tc>
      </w:tr>
      <w:tr w:rsidR="00B96C50" w:rsidRPr="0074017C" w:rsidTr="00B96C50">
        <w:tc>
          <w:tcPr>
            <w:tcW w:w="1090" w:type="pct"/>
            <w:shd w:val="clear" w:color="auto" w:fill="FFFFFF" w:themeFill="background1"/>
          </w:tcPr>
          <w:p w:rsidR="00B96C50" w:rsidRPr="0074017C" w:rsidRDefault="003D61CD" w:rsidP="00DC10CD">
            <w:r w:rsidRPr="0074017C">
              <w:t>Valsartan 160 mg</w:t>
            </w:r>
          </w:p>
        </w:tc>
        <w:tc>
          <w:tcPr>
            <w:tcW w:w="458" w:type="pct"/>
            <w:shd w:val="clear" w:color="auto" w:fill="FFFFFF" w:themeFill="background1"/>
          </w:tcPr>
          <w:p w:rsidR="00B96C50" w:rsidRPr="0074017C" w:rsidRDefault="003D61CD" w:rsidP="00DC10CD">
            <w:r w:rsidRPr="0074017C">
              <w:t>tbl</w:t>
            </w:r>
          </w:p>
        </w:tc>
        <w:tc>
          <w:tcPr>
            <w:tcW w:w="745" w:type="pct"/>
            <w:shd w:val="clear" w:color="auto" w:fill="FFFFFF" w:themeFill="background1"/>
          </w:tcPr>
          <w:p w:rsidR="00B96C50" w:rsidRPr="0074017C" w:rsidRDefault="003D61CD" w:rsidP="00DC10CD">
            <w:r w:rsidRPr="0074017C">
              <w:t>Valsartan</w:t>
            </w:r>
          </w:p>
        </w:tc>
        <w:tc>
          <w:tcPr>
            <w:tcW w:w="745" w:type="pct"/>
            <w:shd w:val="clear" w:color="auto" w:fill="FFFFFF" w:themeFill="background1"/>
          </w:tcPr>
          <w:p w:rsidR="00B96C50" w:rsidRPr="0074017C" w:rsidRDefault="003D61CD" w:rsidP="00DC10CD">
            <w:r w:rsidRPr="0074017C">
              <w:t>SociedadeTecnico</w:t>
            </w:r>
          </w:p>
        </w:tc>
        <w:tc>
          <w:tcPr>
            <w:tcW w:w="478" w:type="pct"/>
            <w:shd w:val="clear" w:color="auto" w:fill="FFFFFF" w:themeFill="background1"/>
          </w:tcPr>
          <w:p w:rsidR="00B96C50" w:rsidRPr="0074017C" w:rsidRDefault="003D61CD" w:rsidP="00DC10CD">
            <w:r w:rsidRPr="0074017C">
              <w:t>22,6</w:t>
            </w:r>
          </w:p>
        </w:tc>
        <w:tc>
          <w:tcPr>
            <w:tcW w:w="652" w:type="pct"/>
            <w:shd w:val="clear" w:color="auto" w:fill="FFFFFF" w:themeFill="background1"/>
          </w:tcPr>
          <w:p w:rsidR="00B96C50" w:rsidRPr="0074017C" w:rsidRDefault="003D61CD" w:rsidP="00DC10CD">
            <w:r w:rsidRPr="0074017C">
              <w:t>11,3</w:t>
            </w:r>
          </w:p>
        </w:tc>
        <w:tc>
          <w:tcPr>
            <w:tcW w:w="831" w:type="pct"/>
            <w:shd w:val="clear" w:color="auto" w:fill="FFFFFF" w:themeFill="background1"/>
          </w:tcPr>
          <w:p w:rsidR="00B96C50" w:rsidRPr="0074017C" w:rsidRDefault="003D61CD" w:rsidP="00DC10CD">
            <w:r w:rsidRPr="0074017C">
              <w:t>11,3</w:t>
            </w:r>
          </w:p>
        </w:tc>
      </w:tr>
      <w:tr w:rsidR="00B96C50" w:rsidRPr="0074017C" w:rsidTr="00B96C50">
        <w:tc>
          <w:tcPr>
            <w:tcW w:w="1090" w:type="pct"/>
            <w:shd w:val="clear" w:color="auto" w:fill="FFFFFF" w:themeFill="background1"/>
          </w:tcPr>
          <w:p w:rsidR="00B96C50" w:rsidRPr="0074017C" w:rsidRDefault="003D61CD" w:rsidP="00DC10CD">
            <w:r w:rsidRPr="0074017C">
              <w:lastRenderedPageBreak/>
              <w:t>Amlodipine 5 mg</w:t>
            </w:r>
          </w:p>
        </w:tc>
        <w:tc>
          <w:tcPr>
            <w:tcW w:w="458" w:type="pct"/>
            <w:shd w:val="clear" w:color="auto" w:fill="FFFFFF" w:themeFill="background1"/>
          </w:tcPr>
          <w:p w:rsidR="00B96C50" w:rsidRPr="0074017C" w:rsidRDefault="003D61CD" w:rsidP="00DC10CD">
            <w:r w:rsidRPr="0074017C">
              <w:t>tbl</w:t>
            </w:r>
          </w:p>
        </w:tc>
        <w:tc>
          <w:tcPr>
            <w:tcW w:w="745" w:type="pct"/>
            <w:shd w:val="clear" w:color="auto" w:fill="FFFFFF" w:themeFill="background1"/>
          </w:tcPr>
          <w:p w:rsidR="00B96C50" w:rsidRPr="0074017C" w:rsidRDefault="003D61CD" w:rsidP="00DC10CD">
            <w:r w:rsidRPr="0074017C">
              <w:t>Monovas</w:t>
            </w:r>
          </w:p>
        </w:tc>
        <w:tc>
          <w:tcPr>
            <w:tcW w:w="745" w:type="pct"/>
            <w:shd w:val="clear" w:color="auto" w:fill="FFFFFF" w:themeFill="background1"/>
          </w:tcPr>
          <w:p w:rsidR="00B96C50" w:rsidRPr="0074017C" w:rsidRDefault="003D61CD" w:rsidP="00DC10CD">
            <w:r w:rsidRPr="0074017C">
              <w:t>Mustafa Nevzat</w:t>
            </w:r>
          </w:p>
        </w:tc>
        <w:tc>
          <w:tcPr>
            <w:tcW w:w="478" w:type="pct"/>
            <w:shd w:val="clear" w:color="auto" w:fill="FFFFFF" w:themeFill="background1"/>
          </w:tcPr>
          <w:p w:rsidR="00B96C50" w:rsidRPr="0074017C" w:rsidRDefault="003D61CD" w:rsidP="00DC10CD">
            <w:r w:rsidRPr="0074017C">
              <w:t>2,1</w:t>
            </w:r>
          </w:p>
        </w:tc>
        <w:tc>
          <w:tcPr>
            <w:tcW w:w="652" w:type="pct"/>
            <w:shd w:val="clear" w:color="auto" w:fill="FFFFFF" w:themeFill="background1"/>
          </w:tcPr>
          <w:p w:rsidR="00B96C50" w:rsidRPr="0074017C" w:rsidRDefault="003D61CD" w:rsidP="00DC10CD">
            <w:r w:rsidRPr="0074017C">
              <w:t>0,4</w:t>
            </w:r>
          </w:p>
        </w:tc>
        <w:tc>
          <w:tcPr>
            <w:tcW w:w="831" w:type="pct"/>
            <w:shd w:val="clear" w:color="auto" w:fill="FFFFFF" w:themeFill="background1"/>
          </w:tcPr>
          <w:p w:rsidR="00B96C50" w:rsidRPr="0074017C" w:rsidRDefault="003D61CD" w:rsidP="00DC10CD">
            <w:r w:rsidRPr="0074017C">
              <w:t>1,7</w:t>
            </w:r>
          </w:p>
        </w:tc>
      </w:tr>
    </w:tbl>
    <w:p w:rsidR="00B96C50" w:rsidRPr="0074017C" w:rsidRDefault="00B96C50" w:rsidP="00DC10CD">
      <w:pPr>
        <w:spacing w:after="0" w:line="240" w:lineRule="auto"/>
        <w:jc w:val="both"/>
      </w:pPr>
    </w:p>
    <w:p w:rsidR="00B96C50" w:rsidRPr="0074017C" w:rsidRDefault="00B96C50" w:rsidP="00DC10CD">
      <w:pPr>
        <w:spacing w:after="0" w:line="240" w:lineRule="auto"/>
        <w:jc w:val="both"/>
      </w:pPr>
      <w:r w:rsidRPr="0074017C">
        <w:t xml:space="preserve">If prescribed individually, the reimbursed price of 10 mg atorvastatin and 10 mg amlodipine sums up to </w:t>
      </w:r>
    </w:p>
    <w:p w:rsidR="003D61CD" w:rsidRPr="0074017C" w:rsidRDefault="00B96C50" w:rsidP="00DC10CD">
      <w:pPr>
        <w:spacing w:after="0" w:line="240" w:lineRule="auto"/>
        <w:jc w:val="both"/>
      </w:pPr>
      <w:r w:rsidRPr="0074017C">
        <w:t xml:space="preserve">4,7 LEK. If a combination medicine that contains exactly the same doses of atorvastatine and amlodipine is prescribed, the HIF will reimburse it at 33,1 LEK – 7 times higher. </w:t>
      </w:r>
      <w:r w:rsidR="003D61CD" w:rsidRPr="0074017C">
        <w:t>Copayment paid by the patient is 9,7 times higher.</w:t>
      </w:r>
    </w:p>
    <w:p w:rsidR="003D61CD" w:rsidRPr="0074017C" w:rsidRDefault="003D61CD" w:rsidP="00DC10CD">
      <w:pPr>
        <w:spacing w:after="0" w:line="240" w:lineRule="auto"/>
        <w:jc w:val="both"/>
      </w:pPr>
    </w:p>
    <w:p w:rsidR="00B96C50" w:rsidRPr="0074017C" w:rsidRDefault="003D61CD" w:rsidP="00DC10CD">
      <w:pPr>
        <w:spacing w:after="0" w:line="240" w:lineRule="auto"/>
        <w:jc w:val="both"/>
      </w:pPr>
      <w:r w:rsidRPr="0074017C">
        <w:t>If prescribed individually, the reimbursed price of 160 mg valsartan and 5 mg amlodipine sums up to 13 LEK. If a combination medicine that contains exactly the same doses of valsartan and amlodipine is prescribed, the HIF will reimburse it at 75,2 LEK – 5,78 times higher. Copayment paid by the patient is 6,42 times higher.</w:t>
      </w:r>
    </w:p>
    <w:p w:rsidR="00B96C50" w:rsidRPr="0074017C" w:rsidRDefault="00B96C50" w:rsidP="00DC10CD">
      <w:pPr>
        <w:spacing w:after="0" w:line="240" w:lineRule="auto"/>
        <w:jc w:val="both"/>
      </w:pPr>
    </w:p>
    <w:p w:rsidR="00255126" w:rsidRPr="0074017C" w:rsidRDefault="00255126" w:rsidP="00DC10CD">
      <w:pPr>
        <w:spacing w:after="0" w:line="240" w:lineRule="auto"/>
        <w:jc w:val="both"/>
      </w:pPr>
    </w:p>
    <w:p w:rsidR="00DD0A9B" w:rsidRPr="0074017C" w:rsidRDefault="00DD0A9B" w:rsidP="00255126">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jc w:val="both"/>
      </w:pPr>
      <w:r w:rsidRPr="0074017C">
        <w:t xml:space="preserve">In 2013, the HIF paid 57 223 896 Lek for Exforge tablets. If the same amount of valsartan and amlodipine had been dispensed </w:t>
      </w:r>
      <w:r w:rsidR="00255126" w:rsidRPr="0074017C">
        <w:t>individually</w:t>
      </w:r>
      <w:r w:rsidRPr="0074017C">
        <w:t xml:space="preserve">, the HIF would have saved as much as </w:t>
      </w:r>
      <w:r w:rsidR="00255126" w:rsidRPr="0074017C">
        <w:t>47 495 833</w:t>
      </w:r>
      <w:r w:rsidRPr="0074017C">
        <w:t>Lek.</w:t>
      </w:r>
      <w:r w:rsidR="00255126" w:rsidRPr="0074017C">
        <w:t xml:space="preserve"> Data on expenditure of Caduet was not available for analysis. </w:t>
      </w:r>
    </w:p>
    <w:p w:rsidR="00A9384B" w:rsidRPr="0074017C" w:rsidRDefault="00A9384B" w:rsidP="00DC10CD">
      <w:pPr>
        <w:spacing w:after="0" w:line="240" w:lineRule="auto"/>
        <w:jc w:val="both"/>
      </w:pPr>
    </w:p>
    <w:p w:rsidR="00DD0A9B" w:rsidRPr="0074017C" w:rsidRDefault="00DD0A9B" w:rsidP="00DC10CD">
      <w:pPr>
        <w:spacing w:after="0" w:line="240" w:lineRule="auto"/>
        <w:jc w:val="both"/>
      </w:pPr>
    </w:p>
    <w:p w:rsidR="00DD0A9B" w:rsidRPr="0074017C" w:rsidRDefault="00DD0A9B" w:rsidP="00DC10CD">
      <w:pPr>
        <w:spacing w:after="0" w:line="240" w:lineRule="auto"/>
        <w:jc w:val="both"/>
      </w:pPr>
    </w:p>
    <w:p w:rsidR="001C27B1" w:rsidRPr="0074017C" w:rsidRDefault="0092341A" w:rsidP="00DC10CD">
      <w:pPr>
        <w:pStyle w:val="Heading4"/>
        <w:spacing w:before="0" w:line="240" w:lineRule="auto"/>
      </w:pPr>
      <w:r w:rsidRPr="0074017C">
        <w:t>Reimbursed prices</w:t>
      </w:r>
      <w:r w:rsidR="001C27B1" w:rsidRPr="0074017C">
        <w:t xml:space="preserve"> for me-too medicines</w:t>
      </w:r>
    </w:p>
    <w:p w:rsidR="001C27B1" w:rsidRPr="0074017C" w:rsidRDefault="001C27B1" w:rsidP="00DC10CD">
      <w:pPr>
        <w:spacing w:after="0" w:line="240" w:lineRule="auto"/>
        <w:jc w:val="both"/>
      </w:pPr>
    </w:p>
    <w:p w:rsidR="00C5679A" w:rsidRPr="0074017C" w:rsidRDefault="00D53A49" w:rsidP="00DC10CD">
      <w:pPr>
        <w:spacing w:after="0" w:line="240" w:lineRule="auto"/>
        <w:jc w:val="both"/>
      </w:pPr>
      <w:r w:rsidRPr="0074017C">
        <w:t>Therapeutic value referencing (jumbo clusters) is a common pr</w:t>
      </w:r>
      <w:r w:rsidR="00E76C17" w:rsidRPr="0074017C">
        <w:t>icing regulation strategy in Central and Eastern Europe</w:t>
      </w:r>
      <w:r w:rsidRPr="0074017C">
        <w:t xml:space="preserve">, although variable in the scope of products for which it is used, the composition  of the clusters, the ATC level of clustering (varying from 3 to </w:t>
      </w:r>
      <w:r w:rsidR="00BC021E" w:rsidRPr="0074017C">
        <w:t>4</w:t>
      </w:r>
      <w:r w:rsidRPr="0074017C">
        <w:t>) and the methodologies used to calculate internal reference prices – price per DDD being the most common criterion. It is used in many countries such as Bulgaria, Croatia, Czech Republic, Estonia, Hungary, Latvia, FYR Macedonia, Poland, Romania, Serbia and Slovenia.</w:t>
      </w:r>
    </w:p>
    <w:p w:rsidR="00C5679A" w:rsidRPr="0074017C" w:rsidRDefault="00C5679A" w:rsidP="00DC10CD">
      <w:pPr>
        <w:spacing w:after="0" w:line="240" w:lineRule="auto"/>
        <w:jc w:val="both"/>
      </w:pPr>
    </w:p>
    <w:p w:rsidR="00C5679A" w:rsidRPr="0074017C" w:rsidRDefault="00C5679A" w:rsidP="00DC10CD">
      <w:pPr>
        <w:spacing w:after="0" w:line="240" w:lineRule="auto"/>
        <w:jc w:val="both"/>
      </w:pPr>
      <w:r w:rsidRPr="0074017C">
        <w:t xml:space="preserve">Therapeutic subgroups are usually relatively broadly defined as pharmaceuticals that produce the same or similar therapeutic effects in treating the same or similar conditions. The effect of price changes on the pharmaceutical total expenditure depends on the price </w:t>
      </w:r>
      <w:r w:rsidR="000304E6" w:rsidRPr="0074017C">
        <w:t xml:space="preserve">(copayment) </w:t>
      </w:r>
      <w:r w:rsidRPr="0074017C">
        <w:t>and cross elasticity of demand, i.e., on how the demand of a medicinal product changes when the price</w:t>
      </w:r>
      <w:r w:rsidR="00A93F0C" w:rsidRPr="0074017C">
        <w:t xml:space="preserve"> (copayment)</w:t>
      </w:r>
      <w:r w:rsidRPr="0074017C">
        <w:t xml:space="preserve"> of that product changes and when the </w:t>
      </w:r>
      <w:r w:rsidR="00A93F0C" w:rsidRPr="0074017C">
        <w:t>copayment</w:t>
      </w:r>
      <w:r w:rsidRPr="0074017C">
        <w:t xml:space="preserve"> of a competing medicinal product changes. Normally, a rise in the product price leads to a decrease in the demand for the product, while a rise in the price of a competing product has the opposite effect. </w:t>
      </w:r>
    </w:p>
    <w:p w:rsidR="00D53A49" w:rsidRPr="0074017C" w:rsidRDefault="00D53A49" w:rsidP="00DC10CD">
      <w:pPr>
        <w:spacing w:after="0" w:line="240" w:lineRule="auto"/>
        <w:jc w:val="both"/>
      </w:pPr>
    </w:p>
    <w:p w:rsidR="00DF7B60" w:rsidRPr="0074017C" w:rsidRDefault="00A93F0C" w:rsidP="00DC10CD">
      <w:pPr>
        <w:spacing w:after="0" w:line="240" w:lineRule="auto"/>
        <w:jc w:val="both"/>
      </w:pPr>
      <w:r w:rsidRPr="0074017C">
        <w:t>When engaging in internal reference pricing, i</w:t>
      </w:r>
      <w:r w:rsidR="00966A84" w:rsidRPr="0074017C">
        <w:t>t is i</w:t>
      </w:r>
      <w:r w:rsidR="00DF7B60" w:rsidRPr="0074017C">
        <w:t xml:space="preserve">mportant </w:t>
      </w:r>
      <w:r w:rsidR="00677675" w:rsidRPr="0074017C">
        <w:t>t</w:t>
      </w:r>
      <w:r w:rsidR="00966A84" w:rsidRPr="0074017C">
        <w:t>o compare</w:t>
      </w:r>
      <w:r w:rsidR="00DF7B60" w:rsidRPr="0074017C">
        <w:t xml:space="preserve"> similar strengths </w:t>
      </w:r>
      <w:r w:rsidR="00966A84" w:rsidRPr="0074017C">
        <w:t xml:space="preserve">related to DDD </w:t>
      </w:r>
      <w:r w:rsidR="00DF7B60" w:rsidRPr="0074017C">
        <w:t>and similar packages</w:t>
      </w:r>
      <w:r w:rsidR="00966A84" w:rsidRPr="0074017C">
        <w:t xml:space="preserve"> as larger packages usually cost less to produce by unit dose. </w:t>
      </w:r>
    </w:p>
    <w:p w:rsidR="00966A84" w:rsidRPr="0074017C" w:rsidRDefault="00966A84" w:rsidP="00DC10CD">
      <w:pPr>
        <w:spacing w:after="0" w:line="240" w:lineRule="auto"/>
        <w:jc w:val="both"/>
      </w:pPr>
    </w:p>
    <w:p w:rsidR="00966A84" w:rsidRPr="0074017C" w:rsidRDefault="00966A84" w:rsidP="00DC10CD">
      <w:pPr>
        <w:spacing w:after="0" w:line="240" w:lineRule="auto"/>
        <w:jc w:val="both"/>
      </w:pPr>
      <w:r w:rsidRPr="0074017C">
        <w:t xml:space="preserve">The HIF seems to be paying substantially different prices for defined daily doses of </w:t>
      </w:r>
      <w:r w:rsidR="00E76C17" w:rsidRPr="0074017C">
        <w:t xml:space="preserve">what other countries define as </w:t>
      </w:r>
      <w:r w:rsidRPr="0074017C">
        <w:t xml:space="preserve">essentially similar </w:t>
      </w:r>
      <w:r w:rsidR="00B7059C" w:rsidRPr="0074017C">
        <w:t xml:space="preserve">(me too) </w:t>
      </w:r>
      <w:r w:rsidRPr="0074017C">
        <w:t xml:space="preserve">medicines. Tables </w:t>
      </w:r>
      <w:r w:rsidR="00875271" w:rsidRPr="0074017C">
        <w:t>1</w:t>
      </w:r>
      <w:r w:rsidR="00D076D5" w:rsidRPr="0074017C">
        <w:t>5</w:t>
      </w:r>
      <w:r w:rsidR="00875271" w:rsidRPr="0074017C">
        <w:t xml:space="preserve"> and 1</w:t>
      </w:r>
      <w:r w:rsidR="00D076D5" w:rsidRPr="0074017C">
        <w:t>6</w:t>
      </w:r>
      <w:r w:rsidRPr="0074017C">
        <w:t xml:space="preserve"> list several examples - reimbursed prices paid for beta blocking agents and sartans</w:t>
      </w:r>
      <w:r w:rsidR="00A93F0C" w:rsidRPr="0074017C">
        <w:t xml:space="preserve"> (ARBs)</w:t>
      </w:r>
      <w:r w:rsidRPr="0074017C">
        <w:t xml:space="preserve">.  </w:t>
      </w:r>
    </w:p>
    <w:p w:rsidR="00DF7B60" w:rsidRPr="0074017C" w:rsidRDefault="00DF7B60" w:rsidP="00DC10CD">
      <w:pPr>
        <w:spacing w:after="0" w:line="240" w:lineRule="auto"/>
        <w:jc w:val="both"/>
      </w:pPr>
    </w:p>
    <w:p w:rsidR="00E76C17" w:rsidRPr="0074017C" w:rsidRDefault="00875271" w:rsidP="00DC10CD">
      <w:pPr>
        <w:spacing w:after="0" w:line="240" w:lineRule="auto"/>
        <w:jc w:val="both"/>
      </w:pPr>
      <w:r w:rsidRPr="0074017C">
        <w:t>Table 1</w:t>
      </w:r>
      <w:r w:rsidR="00D076D5" w:rsidRPr="0074017C">
        <w:t>5</w:t>
      </w:r>
      <w:r w:rsidR="00A93829" w:rsidRPr="0074017C">
        <w:t xml:space="preserve"> – Price comparisons of selected me too medicines; beta blocking agents</w:t>
      </w:r>
    </w:p>
    <w:tbl>
      <w:tblPr>
        <w:tblStyle w:val="TableGrid"/>
        <w:tblW w:w="5000" w:type="pct"/>
        <w:tblLook w:val="04A0"/>
      </w:tblPr>
      <w:tblGrid>
        <w:gridCol w:w="1545"/>
        <w:gridCol w:w="1567"/>
        <w:gridCol w:w="1915"/>
        <w:gridCol w:w="1494"/>
        <w:gridCol w:w="1599"/>
        <w:gridCol w:w="1456"/>
      </w:tblGrid>
      <w:tr w:rsidR="00C5679A" w:rsidRPr="0074017C" w:rsidTr="00C5679A">
        <w:tc>
          <w:tcPr>
            <w:tcW w:w="807" w:type="pct"/>
          </w:tcPr>
          <w:p w:rsidR="00C5679A" w:rsidRPr="0074017C" w:rsidRDefault="00C5679A" w:rsidP="00DC10CD">
            <w:pPr>
              <w:rPr>
                <w:b/>
              </w:rPr>
            </w:pPr>
            <w:r w:rsidRPr="0074017C">
              <w:rPr>
                <w:b/>
              </w:rPr>
              <w:t>INN &amp; strength</w:t>
            </w:r>
          </w:p>
        </w:tc>
        <w:tc>
          <w:tcPr>
            <w:tcW w:w="818" w:type="pct"/>
          </w:tcPr>
          <w:p w:rsidR="00C5679A" w:rsidRPr="0074017C" w:rsidRDefault="00C5679A" w:rsidP="00DC10CD">
            <w:pPr>
              <w:rPr>
                <w:b/>
              </w:rPr>
            </w:pPr>
            <w:r w:rsidRPr="0074017C">
              <w:rPr>
                <w:b/>
              </w:rPr>
              <w:t>DDD</w:t>
            </w:r>
          </w:p>
        </w:tc>
        <w:tc>
          <w:tcPr>
            <w:tcW w:w="1000" w:type="pct"/>
          </w:tcPr>
          <w:p w:rsidR="00C5679A" w:rsidRPr="0074017C" w:rsidRDefault="00C5679A" w:rsidP="00DC10CD">
            <w:pPr>
              <w:rPr>
                <w:b/>
              </w:rPr>
            </w:pPr>
            <w:r w:rsidRPr="0074017C">
              <w:rPr>
                <w:b/>
              </w:rPr>
              <w:t>Reimbursed price</w:t>
            </w:r>
          </w:p>
        </w:tc>
        <w:tc>
          <w:tcPr>
            <w:tcW w:w="780" w:type="pct"/>
          </w:tcPr>
          <w:p w:rsidR="00C5679A" w:rsidRPr="0074017C" w:rsidRDefault="00C5679A" w:rsidP="00DC10CD">
            <w:pPr>
              <w:rPr>
                <w:b/>
              </w:rPr>
            </w:pPr>
            <w:r w:rsidRPr="0074017C">
              <w:rPr>
                <w:b/>
              </w:rPr>
              <w:t>Price paid by HIF for DDD</w:t>
            </w:r>
          </w:p>
        </w:tc>
        <w:tc>
          <w:tcPr>
            <w:tcW w:w="835" w:type="pct"/>
          </w:tcPr>
          <w:p w:rsidR="00C5679A" w:rsidRPr="0074017C" w:rsidRDefault="001B36A3" w:rsidP="00DC10CD">
            <w:pPr>
              <w:rPr>
                <w:b/>
              </w:rPr>
            </w:pPr>
            <w:r w:rsidRPr="0074017C">
              <w:rPr>
                <w:b/>
              </w:rPr>
              <w:t>Hypothetical r</w:t>
            </w:r>
            <w:r w:rsidR="00C5679A" w:rsidRPr="0074017C">
              <w:rPr>
                <w:b/>
              </w:rPr>
              <w:t>eferent price</w:t>
            </w:r>
            <w:r w:rsidR="00E76C17" w:rsidRPr="0074017C">
              <w:rPr>
                <w:b/>
              </w:rPr>
              <w:t xml:space="preserve"> for DDD</w:t>
            </w:r>
          </w:p>
        </w:tc>
        <w:tc>
          <w:tcPr>
            <w:tcW w:w="760" w:type="pct"/>
          </w:tcPr>
          <w:p w:rsidR="00C5679A" w:rsidRPr="0074017C" w:rsidRDefault="005C10D4" w:rsidP="005C10D4">
            <w:pPr>
              <w:rPr>
                <w:b/>
              </w:rPr>
            </w:pPr>
            <w:r w:rsidRPr="0074017C">
              <w:rPr>
                <w:b/>
              </w:rPr>
              <w:t>Potential savings</w:t>
            </w:r>
          </w:p>
        </w:tc>
      </w:tr>
      <w:tr w:rsidR="00C5679A" w:rsidRPr="0074017C" w:rsidTr="00C5679A">
        <w:tc>
          <w:tcPr>
            <w:tcW w:w="807" w:type="pct"/>
          </w:tcPr>
          <w:p w:rsidR="00C5679A" w:rsidRPr="0074017C" w:rsidRDefault="00C5679A" w:rsidP="00DC10CD">
            <w:r w:rsidRPr="0074017C">
              <w:lastRenderedPageBreak/>
              <w:t>Bisoprolol 10mg</w:t>
            </w:r>
          </w:p>
        </w:tc>
        <w:tc>
          <w:tcPr>
            <w:tcW w:w="818" w:type="pct"/>
          </w:tcPr>
          <w:p w:rsidR="00C5679A" w:rsidRPr="0074017C" w:rsidRDefault="00C5679A" w:rsidP="00DC10CD">
            <w:r w:rsidRPr="0074017C">
              <w:t>10 mg</w:t>
            </w:r>
          </w:p>
        </w:tc>
        <w:tc>
          <w:tcPr>
            <w:tcW w:w="1000" w:type="pct"/>
          </w:tcPr>
          <w:p w:rsidR="00C5679A" w:rsidRPr="0074017C" w:rsidRDefault="00DF7B60" w:rsidP="00DC10CD">
            <w:r w:rsidRPr="0074017C">
              <w:t>5,3 LEK</w:t>
            </w:r>
          </w:p>
        </w:tc>
        <w:tc>
          <w:tcPr>
            <w:tcW w:w="780" w:type="pct"/>
          </w:tcPr>
          <w:p w:rsidR="00C5679A" w:rsidRPr="0074017C" w:rsidRDefault="00DF7B60" w:rsidP="00DC10CD">
            <w:r w:rsidRPr="0074017C">
              <w:t>5,3 LEK</w:t>
            </w:r>
          </w:p>
        </w:tc>
        <w:tc>
          <w:tcPr>
            <w:tcW w:w="835" w:type="pct"/>
          </w:tcPr>
          <w:p w:rsidR="00C5679A" w:rsidRPr="0074017C" w:rsidRDefault="00DF7B60" w:rsidP="00DC10CD">
            <w:r w:rsidRPr="0074017C">
              <w:t>5 LEK</w:t>
            </w:r>
          </w:p>
        </w:tc>
        <w:tc>
          <w:tcPr>
            <w:tcW w:w="760" w:type="pct"/>
          </w:tcPr>
          <w:p w:rsidR="00C5679A" w:rsidRPr="0074017C" w:rsidRDefault="005C10D4" w:rsidP="00DC10CD">
            <w:r w:rsidRPr="0074017C">
              <w:t>5,7</w:t>
            </w:r>
            <w:r w:rsidR="00966A84" w:rsidRPr="0074017C">
              <w:t>%</w:t>
            </w:r>
          </w:p>
        </w:tc>
      </w:tr>
      <w:tr w:rsidR="00C5679A" w:rsidRPr="0074017C" w:rsidTr="00C5679A">
        <w:tc>
          <w:tcPr>
            <w:tcW w:w="807" w:type="pct"/>
          </w:tcPr>
          <w:p w:rsidR="00C5679A" w:rsidRPr="0074017C" w:rsidRDefault="00C5679A" w:rsidP="00DC10CD">
            <w:r w:rsidRPr="0074017C">
              <w:t>Nebivolol 5mg</w:t>
            </w:r>
          </w:p>
        </w:tc>
        <w:tc>
          <w:tcPr>
            <w:tcW w:w="818" w:type="pct"/>
          </w:tcPr>
          <w:p w:rsidR="00C5679A" w:rsidRPr="0074017C" w:rsidRDefault="00C5679A" w:rsidP="00DC10CD">
            <w:r w:rsidRPr="0074017C">
              <w:t>5mg</w:t>
            </w:r>
          </w:p>
        </w:tc>
        <w:tc>
          <w:tcPr>
            <w:tcW w:w="1000" w:type="pct"/>
          </w:tcPr>
          <w:p w:rsidR="00C5679A" w:rsidRPr="0074017C" w:rsidRDefault="00DF7B60" w:rsidP="00DC10CD">
            <w:r w:rsidRPr="0074017C">
              <w:t>12,9 LEK</w:t>
            </w:r>
          </w:p>
        </w:tc>
        <w:tc>
          <w:tcPr>
            <w:tcW w:w="780" w:type="pct"/>
          </w:tcPr>
          <w:p w:rsidR="00C5679A" w:rsidRPr="0074017C" w:rsidRDefault="00DF7B60" w:rsidP="00DC10CD">
            <w:r w:rsidRPr="0074017C">
              <w:t>12,9 LEK</w:t>
            </w:r>
          </w:p>
        </w:tc>
        <w:tc>
          <w:tcPr>
            <w:tcW w:w="835" w:type="pct"/>
          </w:tcPr>
          <w:p w:rsidR="00C5679A" w:rsidRPr="0074017C" w:rsidRDefault="00DF7B60" w:rsidP="00DC10CD">
            <w:r w:rsidRPr="0074017C">
              <w:t>5 LEK</w:t>
            </w:r>
          </w:p>
        </w:tc>
        <w:tc>
          <w:tcPr>
            <w:tcW w:w="760" w:type="pct"/>
          </w:tcPr>
          <w:p w:rsidR="00C5679A" w:rsidRPr="0074017C" w:rsidRDefault="005C10D4" w:rsidP="00DC10CD">
            <w:r w:rsidRPr="0074017C">
              <w:t>61,2</w:t>
            </w:r>
            <w:r w:rsidR="00966A84" w:rsidRPr="0074017C">
              <w:t>%</w:t>
            </w:r>
          </w:p>
        </w:tc>
      </w:tr>
      <w:tr w:rsidR="00C5679A" w:rsidRPr="0074017C" w:rsidTr="00C5679A">
        <w:tc>
          <w:tcPr>
            <w:tcW w:w="807" w:type="pct"/>
          </w:tcPr>
          <w:p w:rsidR="00C5679A" w:rsidRPr="0074017C" w:rsidRDefault="00C5679A" w:rsidP="00DC10CD">
            <w:r w:rsidRPr="0074017C">
              <w:t>Carvedilol 25mg</w:t>
            </w:r>
          </w:p>
        </w:tc>
        <w:tc>
          <w:tcPr>
            <w:tcW w:w="818" w:type="pct"/>
          </w:tcPr>
          <w:p w:rsidR="00C5679A" w:rsidRPr="0074017C" w:rsidRDefault="00C5679A" w:rsidP="00DC10CD">
            <w:r w:rsidRPr="0074017C">
              <w:t>37,5 mg</w:t>
            </w:r>
          </w:p>
        </w:tc>
        <w:tc>
          <w:tcPr>
            <w:tcW w:w="1000" w:type="pct"/>
          </w:tcPr>
          <w:p w:rsidR="00C5679A" w:rsidRPr="0074017C" w:rsidRDefault="00DF7B60" w:rsidP="00DC10CD">
            <w:r w:rsidRPr="0074017C">
              <w:t>7,5 LEK</w:t>
            </w:r>
          </w:p>
        </w:tc>
        <w:tc>
          <w:tcPr>
            <w:tcW w:w="780" w:type="pct"/>
          </w:tcPr>
          <w:p w:rsidR="00C5679A" w:rsidRPr="0074017C" w:rsidRDefault="00DF7B60" w:rsidP="00DC10CD">
            <w:pPr>
              <w:tabs>
                <w:tab w:val="left" w:pos="951"/>
              </w:tabs>
              <w:rPr>
                <w:b/>
              </w:rPr>
            </w:pPr>
            <w:r w:rsidRPr="0074017C">
              <w:rPr>
                <w:b/>
              </w:rPr>
              <w:t>5 LEK</w:t>
            </w:r>
            <w:r w:rsidRPr="0074017C">
              <w:rPr>
                <w:b/>
              </w:rPr>
              <w:tab/>
            </w:r>
          </w:p>
        </w:tc>
        <w:tc>
          <w:tcPr>
            <w:tcW w:w="835" w:type="pct"/>
          </w:tcPr>
          <w:p w:rsidR="00C5679A" w:rsidRPr="0074017C" w:rsidRDefault="00DF7B60" w:rsidP="00DC10CD">
            <w:pPr>
              <w:rPr>
                <w:b/>
              </w:rPr>
            </w:pPr>
            <w:r w:rsidRPr="0074017C">
              <w:rPr>
                <w:b/>
              </w:rPr>
              <w:t>5 LEK</w:t>
            </w:r>
          </w:p>
        </w:tc>
        <w:tc>
          <w:tcPr>
            <w:tcW w:w="760" w:type="pct"/>
          </w:tcPr>
          <w:p w:rsidR="00C5679A" w:rsidRPr="0074017C" w:rsidRDefault="00C5679A" w:rsidP="00DC10CD"/>
        </w:tc>
      </w:tr>
    </w:tbl>
    <w:p w:rsidR="004D3A93" w:rsidRPr="0074017C" w:rsidRDefault="004D3A93" w:rsidP="00DC10CD">
      <w:pPr>
        <w:spacing w:after="0" w:line="240" w:lineRule="auto"/>
        <w:jc w:val="both"/>
      </w:pPr>
    </w:p>
    <w:p w:rsidR="0065470D" w:rsidRPr="0074017C" w:rsidRDefault="00875271" w:rsidP="00DC10CD">
      <w:pPr>
        <w:spacing w:after="0" w:line="240" w:lineRule="auto"/>
        <w:jc w:val="both"/>
      </w:pPr>
      <w:r w:rsidRPr="0074017C">
        <w:t>Table 1</w:t>
      </w:r>
      <w:r w:rsidR="00D076D5" w:rsidRPr="0074017C">
        <w:t>6</w:t>
      </w:r>
      <w:r w:rsidR="00A93829" w:rsidRPr="0074017C">
        <w:t xml:space="preserve"> - Price comparisons of selected me too medicines; ARBs</w:t>
      </w:r>
    </w:p>
    <w:tbl>
      <w:tblPr>
        <w:tblStyle w:val="TableGrid"/>
        <w:tblW w:w="5000" w:type="pct"/>
        <w:tblLook w:val="04A0"/>
      </w:tblPr>
      <w:tblGrid>
        <w:gridCol w:w="1817"/>
        <w:gridCol w:w="1295"/>
        <w:gridCol w:w="1915"/>
        <w:gridCol w:w="1494"/>
        <w:gridCol w:w="1599"/>
        <w:gridCol w:w="1456"/>
      </w:tblGrid>
      <w:tr w:rsidR="00DF7B60" w:rsidRPr="0074017C" w:rsidTr="00966A84">
        <w:tc>
          <w:tcPr>
            <w:tcW w:w="949" w:type="pct"/>
          </w:tcPr>
          <w:p w:rsidR="00DF7B60" w:rsidRPr="0074017C" w:rsidRDefault="00DF7B60" w:rsidP="00DC10CD">
            <w:pPr>
              <w:rPr>
                <w:b/>
              </w:rPr>
            </w:pPr>
            <w:r w:rsidRPr="0074017C">
              <w:rPr>
                <w:b/>
              </w:rPr>
              <w:t>INN &amp; strength</w:t>
            </w:r>
          </w:p>
        </w:tc>
        <w:tc>
          <w:tcPr>
            <w:tcW w:w="676" w:type="pct"/>
          </w:tcPr>
          <w:p w:rsidR="00DF7B60" w:rsidRPr="0074017C" w:rsidRDefault="00DF7B60" w:rsidP="00DC10CD">
            <w:pPr>
              <w:rPr>
                <w:b/>
              </w:rPr>
            </w:pPr>
            <w:r w:rsidRPr="0074017C">
              <w:rPr>
                <w:b/>
              </w:rPr>
              <w:t>DDD</w:t>
            </w:r>
          </w:p>
        </w:tc>
        <w:tc>
          <w:tcPr>
            <w:tcW w:w="1000" w:type="pct"/>
          </w:tcPr>
          <w:p w:rsidR="00DF7B60" w:rsidRPr="0074017C" w:rsidRDefault="00DF7B60" w:rsidP="00DC10CD">
            <w:pPr>
              <w:rPr>
                <w:b/>
              </w:rPr>
            </w:pPr>
            <w:r w:rsidRPr="0074017C">
              <w:rPr>
                <w:b/>
              </w:rPr>
              <w:t>Reimbursed price</w:t>
            </w:r>
          </w:p>
        </w:tc>
        <w:tc>
          <w:tcPr>
            <w:tcW w:w="780" w:type="pct"/>
          </w:tcPr>
          <w:p w:rsidR="00DF7B60" w:rsidRPr="0074017C" w:rsidRDefault="00DF7B60" w:rsidP="00DC10CD">
            <w:pPr>
              <w:rPr>
                <w:b/>
              </w:rPr>
            </w:pPr>
            <w:r w:rsidRPr="0074017C">
              <w:rPr>
                <w:b/>
              </w:rPr>
              <w:t>Price paid by HIF for DDD</w:t>
            </w:r>
          </w:p>
        </w:tc>
        <w:tc>
          <w:tcPr>
            <w:tcW w:w="835" w:type="pct"/>
          </w:tcPr>
          <w:p w:rsidR="00DF7B60" w:rsidRPr="0074017C" w:rsidRDefault="001B36A3" w:rsidP="00DC10CD">
            <w:pPr>
              <w:rPr>
                <w:b/>
              </w:rPr>
            </w:pPr>
            <w:r w:rsidRPr="0074017C">
              <w:rPr>
                <w:b/>
              </w:rPr>
              <w:t>Hypothetical r</w:t>
            </w:r>
            <w:r w:rsidR="00DF7B60" w:rsidRPr="0074017C">
              <w:rPr>
                <w:b/>
              </w:rPr>
              <w:t>eferent price</w:t>
            </w:r>
            <w:r w:rsidR="00E86313" w:rsidRPr="0074017C">
              <w:rPr>
                <w:b/>
              </w:rPr>
              <w:t>for DDD</w:t>
            </w:r>
          </w:p>
        </w:tc>
        <w:tc>
          <w:tcPr>
            <w:tcW w:w="760" w:type="pct"/>
          </w:tcPr>
          <w:p w:rsidR="00DF7B60" w:rsidRPr="0074017C" w:rsidRDefault="005C10D4" w:rsidP="00DC10CD">
            <w:pPr>
              <w:rPr>
                <w:b/>
              </w:rPr>
            </w:pPr>
            <w:r w:rsidRPr="0074017C">
              <w:rPr>
                <w:b/>
              </w:rPr>
              <w:t>Potential savings</w:t>
            </w:r>
          </w:p>
        </w:tc>
      </w:tr>
      <w:tr w:rsidR="001417E1" w:rsidRPr="0074017C" w:rsidTr="00966A84">
        <w:tc>
          <w:tcPr>
            <w:tcW w:w="949" w:type="pct"/>
          </w:tcPr>
          <w:p w:rsidR="001417E1" w:rsidRPr="0074017C" w:rsidRDefault="001417E1" w:rsidP="00DC10CD">
            <w:r w:rsidRPr="0074017C">
              <w:t>Losartan 50mg</w:t>
            </w:r>
          </w:p>
        </w:tc>
        <w:tc>
          <w:tcPr>
            <w:tcW w:w="676" w:type="pct"/>
          </w:tcPr>
          <w:p w:rsidR="001417E1" w:rsidRPr="0074017C" w:rsidRDefault="001417E1" w:rsidP="00DC10CD">
            <w:r w:rsidRPr="0074017C">
              <w:t>50 mg</w:t>
            </w:r>
          </w:p>
        </w:tc>
        <w:tc>
          <w:tcPr>
            <w:tcW w:w="1000" w:type="pct"/>
          </w:tcPr>
          <w:p w:rsidR="001417E1" w:rsidRPr="0074017C" w:rsidRDefault="001417E1" w:rsidP="00DC10CD">
            <w:r w:rsidRPr="0074017C">
              <w:t>1,5 LEK</w:t>
            </w:r>
          </w:p>
        </w:tc>
        <w:tc>
          <w:tcPr>
            <w:tcW w:w="780" w:type="pct"/>
          </w:tcPr>
          <w:p w:rsidR="001417E1" w:rsidRPr="0074017C" w:rsidRDefault="001417E1" w:rsidP="00DC10CD">
            <w:pPr>
              <w:rPr>
                <w:b/>
              </w:rPr>
            </w:pPr>
            <w:r w:rsidRPr="0074017C">
              <w:rPr>
                <w:b/>
              </w:rPr>
              <w:t>1,5 LEK</w:t>
            </w:r>
          </w:p>
        </w:tc>
        <w:tc>
          <w:tcPr>
            <w:tcW w:w="835" w:type="pct"/>
          </w:tcPr>
          <w:p w:rsidR="001417E1" w:rsidRPr="0074017C" w:rsidRDefault="001417E1" w:rsidP="00DC10CD">
            <w:pPr>
              <w:rPr>
                <w:b/>
              </w:rPr>
            </w:pPr>
            <w:r w:rsidRPr="0074017C">
              <w:rPr>
                <w:b/>
              </w:rPr>
              <w:t>1,5 LEK</w:t>
            </w:r>
          </w:p>
        </w:tc>
        <w:tc>
          <w:tcPr>
            <w:tcW w:w="760" w:type="pct"/>
          </w:tcPr>
          <w:p w:rsidR="001417E1" w:rsidRPr="0074017C" w:rsidRDefault="001417E1" w:rsidP="00DC10CD"/>
        </w:tc>
      </w:tr>
      <w:tr w:rsidR="001417E1" w:rsidRPr="0074017C" w:rsidTr="00966A84">
        <w:tc>
          <w:tcPr>
            <w:tcW w:w="949" w:type="pct"/>
          </w:tcPr>
          <w:p w:rsidR="001417E1" w:rsidRPr="0074017C" w:rsidRDefault="001417E1" w:rsidP="00DC10CD">
            <w:r w:rsidRPr="0074017C">
              <w:t>Valsartan 80mg</w:t>
            </w:r>
          </w:p>
        </w:tc>
        <w:tc>
          <w:tcPr>
            <w:tcW w:w="676" w:type="pct"/>
          </w:tcPr>
          <w:p w:rsidR="001417E1" w:rsidRPr="0074017C" w:rsidRDefault="001417E1" w:rsidP="00DC10CD">
            <w:r w:rsidRPr="0074017C">
              <w:t>80 mg</w:t>
            </w:r>
          </w:p>
        </w:tc>
        <w:tc>
          <w:tcPr>
            <w:tcW w:w="1000" w:type="pct"/>
          </w:tcPr>
          <w:p w:rsidR="001417E1" w:rsidRPr="0074017C" w:rsidRDefault="001417E1" w:rsidP="00DC10CD">
            <w:r w:rsidRPr="0074017C">
              <w:t>2,5 LEK</w:t>
            </w:r>
          </w:p>
        </w:tc>
        <w:tc>
          <w:tcPr>
            <w:tcW w:w="780" w:type="pct"/>
          </w:tcPr>
          <w:p w:rsidR="001417E1" w:rsidRPr="0074017C" w:rsidRDefault="001417E1" w:rsidP="00DC10CD">
            <w:r w:rsidRPr="0074017C">
              <w:t>2,5 LEK</w:t>
            </w:r>
          </w:p>
        </w:tc>
        <w:tc>
          <w:tcPr>
            <w:tcW w:w="835" w:type="pct"/>
          </w:tcPr>
          <w:p w:rsidR="001417E1" w:rsidRPr="0074017C" w:rsidRDefault="001417E1" w:rsidP="00DC10CD">
            <w:r w:rsidRPr="0074017C">
              <w:t>1,5 LEK</w:t>
            </w:r>
          </w:p>
        </w:tc>
        <w:tc>
          <w:tcPr>
            <w:tcW w:w="760" w:type="pct"/>
          </w:tcPr>
          <w:p w:rsidR="001417E1" w:rsidRPr="0074017C" w:rsidRDefault="005C10D4" w:rsidP="00DC10CD">
            <w:r w:rsidRPr="0074017C">
              <w:t>40</w:t>
            </w:r>
            <w:r w:rsidR="00966A84" w:rsidRPr="0074017C">
              <w:t>%</w:t>
            </w:r>
          </w:p>
        </w:tc>
      </w:tr>
      <w:tr w:rsidR="001417E1" w:rsidRPr="0074017C" w:rsidTr="00966A84">
        <w:tc>
          <w:tcPr>
            <w:tcW w:w="949" w:type="pct"/>
          </w:tcPr>
          <w:p w:rsidR="001417E1" w:rsidRPr="0074017C" w:rsidRDefault="001417E1" w:rsidP="00DC10CD">
            <w:r w:rsidRPr="0074017C">
              <w:t>Irbersartan</w:t>
            </w:r>
            <w:r w:rsidR="0047512D" w:rsidRPr="0074017C">
              <w:t xml:space="preserve"> 150mg</w:t>
            </w:r>
          </w:p>
        </w:tc>
        <w:tc>
          <w:tcPr>
            <w:tcW w:w="676" w:type="pct"/>
          </w:tcPr>
          <w:p w:rsidR="001417E1" w:rsidRPr="0074017C" w:rsidRDefault="001417E1" w:rsidP="00DC10CD">
            <w:r w:rsidRPr="0074017C">
              <w:t>150 mg</w:t>
            </w:r>
          </w:p>
        </w:tc>
        <w:tc>
          <w:tcPr>
            <w:tcW w:w="1000" w:type="pct"/>
          </w:tcPr>
          <w:p w:rsidR="001417E1" w:rsidRPr="0074017C" w:rsidRDefault="001417E1" w:rsidP="00DC10CD">
            <w:r w:rsidRPr="0074017C">
              <w:t>11,9 LEK</w:t>
            </w:r>
          </w:p>
        </w:tc>
        <w:tc>
          <w:tcPr>
            <w:tcW w:w="780" w:type="pct"/>
          </w:tcPr>
          <w:p w:rsidR="001417E1" w:rsidRPr="0074017C" w:rsidRDefault="001417E1" w:rsidP="00DC10CD">
            <w:r w:rsidRPr="0074017C">
              <w:t>11,9 LEK</w:t>
            </w:r>
          </w:p>
        </w:tc>
        <w:tc>
          <w:tcPr>
            <w:tcW w:w="835" w:type="pct"/>
          </w:tcPr>
          <w:p w:rsidR="001417E1" w:rsidRPr="0074017C" w:rsidRDefault="001417E1" w:rsidP="00DC10CD">
            <w:r w:rsidRPr="0074017C">
              <w:t>1,5 LEK</w:t>
            </w:r>
          </w:p>
        </w:tc>
        <w:tc>
          <w:tcPr>
            <w:tcW w:w="760" w:type="pct"/>
          </w:tcPr>
          <w:p w:rsidR="001417E1" w:rsidRPr="0074017C" w:rsidRDefault="005C10D4" w:rsidP="00DC10CD">
            <w:r w:rsidRPr="0074017C">
              <w:t>87,4</w:t>
            </w:r>
            <w:r w:rsidR="00966A84" w:rsidRPr="0074017C">
              <w:t>%</w:t>
            </w:r>
          </w:p>
        </w:tc>
      </w:tr>
      <w:tr w:rsidR="001417E1" w:rsidRPr="0074017C" w:rsidTr="00966A84">
        <w:tc>
          <w:tcPr>
            <w:tcW w:w="949" w:type="pct"/>
          </w:tcPr>
          <w:p w:rsidR="001417E1" w:rsidRPr="0074017C" w:rsidRDefault="001417E1" w:rsidP="00DC10CD">
            <w:r w:rsidRPr="0074017C">
              <w:t>Telmisartan40mg</w:t>
            </w:r>
          </w:p>
        </w:tc>
        <w:tc>
          <w:tcPr>
            <w:tcW w:w="676" w:type="pct"/>
          </w:tcPr>
          <w:p w:rsidR="001417E1" w:rsidRPr="0074017C" w:rsidRDefault="001417E1" w:rsidP="00DC10CD">
            <w:r w:rsidRPr="0074017C">
              <w:t>40 mg</w:t>
            </w:r>
          </w:p>
        </w:tc>
        <w:tc>
          <w:tcPr>
            <w:tcW w:w="1000" w:type="pct"/>
          </w:tcPr>
          <w:p w:rsidR="001417E1" w:rsidRPr="0074017C" w:rsidRDefault="001417E1" w:rsidP="00DC10CD">
            <w:r w:rsidRPr="0074017C">
              <w:t>16,8 LEK</w:t>
            </w:r>
          </w:p>
        </w:tc>
        <w:tc>
          <w:tcPr>
            <w:tcW w:w="780" w:type="pct"/>
          </w:tcPr>
          <w:p w:rsidR="001417E1" w:rsidRPr="0074017C" w:rsidRDefault="001417E1" w:rsidP="00DC10CD">
            <w:r w:rsidRPr="0074017C">
              <w:t>16,8 LEK</w:t>
            </w:r>
          </w:p>
        </w:tc>
        <w:tc>
          <w:tcPr>
            <w:tcW w:w="835" w:type="pct"/>
          </w:tcPr>
          <w:p w:rsidR="001417E1" w:rsidRPr="0074017C" w:rsidRDefault="001417E1" w:rsidP="00DC10CD">
            <w:r w:rsidRPr="0074017C">
              <w:t>1,5 LEK</w:t>
            </w:r>
          </w:p>
        </w:tc>
        <w:tc>
          <w:tcPr>
            <w:tcW w:w="760" w:type="pct"/>
          </w:tcPr>
          <w:p w:rsidR="001417E1" w:rsidRPr="0074017C" w:rsidRDefault="005C10D4" w:rsidP="00DC10CD">
            <w:r w:rsidRPr="0074017C">
              <w:t>91</w:t>
            </w:r>
            <w:r w:rsidR="00966A84" w:rsidRPr="0074017C">
              <w:t>%</w:t>
            </w:r>
          </w:p>
        </w:tc>
      </w:tr>
      <w:tr w:rsidR="001417E1" w:rsidRPr="0074017C" w:rsidTr="00966A84">
        <w:tc>
          <w:tcPr>
            <w:tcW w:w="949" w:type="pct"/>
          </w:tcPr>
          <w:p w:rsidR="001417E1" w:rsidRPr="0074017C" w:rsidRDefault="001417E1" w:rsidP="00DC10CD">
            <w:r w:rsidRPr="0074017C">
              <w:t>Olmesartan 20mg</w:t>
            </w:r>
          </w:p>
        </w:tc>
        <w:tc>
          <w:tcPr>
            <w:tcW w:w="676" w:type="pct"/>
          </w:tcPr>
          <w:p w:rsidR="001417E1" w:rsidRPr="0074017C" w:rsidRDefault="001417E1" w:rsidP="00DC10CD">
            <w:r w:rsidRPr="0074017C">
              <w:t>20 mg</w:t>
            </w:r>
          </w:p>
        </w:tc>
        <w:tc>
          <w:tcPr>
            <w:tcW w:w="1000" w:type="pct"/>
          </w:tcPr>
          <w:p w:rsidR="001417E1" w:rsidRPr="0074017C" w:rsidRDefault="001417E1" w:rsidP="00DC10CD">
            <w:r w:rsidRPr="0074017C">
              <w:t>46,8 LEK</w:t>
            </w:r>
          </w:p>
        </w:tc>
        <w:tc>
          <w:tcPr>
            <w:tcW w:w="780" w:type="pct"/>
          </w:tcPr>
          <w:p w:rsidR="001417E1" w:rsidRPr="0074017C" w:rsidRDefault="001417E1" w:rsidP="00DC10CD">
            <w:r w:rsidRPr="0074017C">
              <w:t>46,8 LEK</w:t>
            </w:r>
          </w:p>
        </w:tc>
        <w:tc>
          <w:tcPr>
            <w:tcW w:w="835" w:type="pct"/>
          </w:tcPr>
          <w:p w:rsidR="001417E1" w:rsidRPr="0074017C" w:rsidRDefault="001417E1" w:rsidP="00DC10CD">
            <w:r w:rsidRPr="0074017C">
              <w:t>1,5 LEK</w:t>
            </w:r>
          </w:p>
        </w:tc>
        <w:tc>
          <w:tcPr>
            <w:tcW w:w="760" w:type="pct"/>
          </w:tcPr>
          <w:p w:rsidR="001417E1" w:rsidRPr="0074017C" w:rsidRDefault="005C10D4" w:rsidP="00DC10CD">
            <w:r w:rsidRPr="0074017C">
              <w:t>96,7</w:t>
            </w:r>
            <w:r w:rsidR="00966A84" w:rsidRPr="0074017C">
              <w:t>%</w:t>
            </w:r>
          </w:p>
        </w:tc>
      </w:tr>
    </w:tbl>
    <w:p w:rsidR="00227212" w:rsidRPr="0074017C" w:rsidRDefault="00227212" w:rsidP="00DC10CD">
      <w:pPr>
        <w:spacing w:after="0" w:line="240" w:lineRule="auto"/>
        <w:jc w:val="both"/>
      </w:pPr>
    </w:p>
    <w:p w:rsidR="00E86313" w:rsidRPr="0074017C" w:rsidRDefault="00E86313" w:rsidP="00DC10CD">
      <w:pPr>
        <w:spacing w:after="0" w:line="240" w:lineRule="auto"/>
        <w:jc w:val="both"/>
      </w:pPr>
    </w:p>
    <w:p w:rsidR="001C27B1" w:rsidRPr="0074017C" w:rsidRDefault="00966A84" w:rsidP="00DC10CD">
      <w:pPr>
        <w:spacing w:after="0" w:line="240" w:lineRule="auto"/>
        <w:jc w:val="both"/>
      </w:pPr>
      <w:r w:rsidRPr="0074017C">
        <w:t xml:space="preserve">Nebivolol is 2,58 times and bisoprolol 1,5 times more expensive than carvedilol. Differences are more remarkable in sartans (Angiotensin II antagonists). Valsartan is 1,67 times more expensive than losartan, irbersartan 7,93 times more expensive, telmisartan 11,2 times more expensive and olmesartan 31,2 times more expensive.  </w:t>
      </w:r>
    </w:p>
    <w:p w:rsidR="00B96C50" w:rsidRPr="0074017C" w:rsidRDefault="00B96C50" w:rsidP="00DC10CD">
      <w:pPr>
        <w:spacing w:after="0" w:line="240" w:lineRule="auto"/>
        <w:jc w:val="both"/>
      </w:pPr>
    </w:p>
    <w:p w:rsidR="00255126" w:rsidRPr="0074017C" w:rsidRDefault="00255126" w:rsidP="00970AA9">
      <w:pPr>
        <w:pStyle w:val="ListParagraph"/>
        <w:numPr>
          <w:ilvl w:val="0"/>
          <w:numId w:val="38"/>
        </w:numPr>
        <w:pBdr>
          <w:top w:val="single" w:sz="4" w:space="1" w:color="auto"/>
          <w:left w:val="single" w:sz="4" w:space="4" w:color="auto"/>
          <w:bottom w:val="single" w:sz="4" w:space="1" w:color="auto"/>
          <w:right w:val="single" w:sz="4" w:space="4" w:color="auto"/>
        </w:pBdr>
        <w:spacing w:after="0" w:line="240" w:lineRule="auto"/>
        <w:jc w:val="both"/>
      </w:pPr>
      <w:r w:rsidRPr="0074017C">
        <w:t>In 2013 the HIF paid 55 214 604 Lek for 10 mg bisoprolol tablets and 37 620 494 Lek for 5 mg nebivolol tablets. Had beta blocking agents been price referenced, the HIF would have saved a total of 26 170 974 Lek</w:t>
      </w:r>
      <w:r w:rsidR="00970AA9" w:rsidRPr="0074017C">
        <w:t xml:space="preserve"> only on 1 DDD equivalent concentrations</w:t>
      </w:r>
      <w:r w:rsidRPr="0074017C">
        <w:t>.</w:t>
      </w:r>
    </w:p>
    <w:p w:rsidR="00255126" w:rsidRPr="0074017C" w:rsidRDefault="00255126" w:rsidP="00970AA9">
      <w:pPr>
        <w:pStyle w:val="ListParagraph"/>
        <w:numPr>
          <w:ilvl w:val="0"/>
          <w:numId w:val="38"/>
        </w:numPr>
        <w:pBdr>
          <w:top w:val="single" w:sz="4" w:space="1" w:color="auto"/>
          <w:left w:val="single" w:sz="4" w:space="4" w:color="auto"/>
          <w:bottom w:val="single" w:sz="4" w:space="1" w:color="auto"/>
          <w:right w:val="single" w:sz="4" w:space="4" w:color="auto"/>
        </w:pBdr>
        <w:spacing w:after="0" w:line="240" w:lineRule="auto"/>
        <w:jc w:val="both"/>
      </w:pPr>
      <w:r w:rsidRPr="0074017C">
        <w:t xml:space="preserve">In 2013 the HIF paid </w:t>
      </w:r>
      <w:r w:rsidR="00970AA9" w:rsidRPr="0074017C">
        <w:t>36 745 066 Lek for 80 mg valsartan tablets, 29 602 079 for 150 mg irbersartan tablets and 180 800 031 Lek for 20 mg olmesartan tablets. Data on expenditure of telmisartan was not available for analysis. Had sartans been price referenced</w:t>
      </w:r>
      <w:r w:rsidR="007E4C1D">
        <w:t xml:space="preserve"> according to the DDD price of losartan</w:t>
      </w:r>
      <w:r w:rsidR="00970AA9" w:rsidRPr="0074017C">
        <w:t xml:space="preserve">, the HIF would have saved a total of 215 403 873 Lek only on 1 DDD equivalent concentrations of valsartan, irebersartan and olmesartan. </w:t>
      </w:r>
    </w:p>
    <w:p w:rsidR="00255126" w:rsidRPr="0074017C" w:rsidRDefault="00255126" w:rsidP="00DC10CD">
      <w:pPr>
        <w:spacing w:after="0" w:line="240" w:lineRule="auto"/>
        <w:jc w:val="both"/>
      </w:pPr>
    </w:p>
    <w:p w:rsidR="00255126" w:rsidRPr="0074017C" w:rsidRDefault="00255126" w:rsidP="00DC10CD">
      <w:pPr>
        <w:spacing w:after="0" w:line="240" w:lineRule="auto"/>
        <w:jc w:val="both"/>
      </w:pPr>
    </w:p>
    <w:p w:rsidR="00255126" w:rsidRPr="0074017C" w:rsidRDefault="00255126" w:rsidP="00DC10CD">
      <w:pPr>
        <w:spacing w:after="0" w:line="240" w:lineRule="auto"/>
        <w:jc w:val="both"/>
      </w:pPr>
    </w:p>
    <w:p w:rsidR="00255126" w:rsidRPr="0074017C" w:rsidRDefault="00255126" w:rsidP="00DC10CD">
      <w:pPr>
        <w:spacing w:after="0" w:line="240" w:lineRule="auto"/>
        <w:jc w:val="both"/>
      </w:pPr>
    </w:p>
    <w:p w:rsidR="00BE7EF0" w:rsidRPr="0074017C" w:rsidRDefault="00BE7EF0" w:rsidP="00DC10CD">
      <w:pPr>
        <w:pStyle w:val="Heading4"/>
        <w:spacing w:before="0" w:line="240" w:lineRule="auto"/>
      </w:pPr>
      <w:r w:rsidRPr="0074017C">
        <w:t>Reducing reimbursed prices at ATC level 5</w:t>
      </w:r>
    </w:p>
    <w:p w:rsidR="00BE7EF0" w:rsidRPr="0074017C" w:rsidRDefault="00BE7EF0" w:rsidP="00DC10CD">
      <w:pPr>
        <w:spacing w:after="0" w:line="240" w:lineRule="auto"/>
        <w:jc w:val="both"/>
      </w:pPr>
    </w:p>
    <w:p w:rsidR="00BE7EF0" w:rsidRPr="0074017C" w:rsidRDefault="00BE7EF0" w:rsidP="00DC10CD">
      <w:pPr>
        <w:spacing w:after="0" w:line="240" w:lineRule="auto"/>
        <w:jc w:val="both"/>
      </w:pPr>
      <w:r w:rsidRPr="0074017C">
        <w:t>As the list of medicines is renewed and prices are calculated once annually, all generics of a certain concentration have the s</w:t>
      </w:r>
      <w:r w:rsidR="007A7A6D" w:rsidRPr="0074017C">
        <w:t>ame reimbursement price. Table 1</w:t>
      </w:r>
      <w:r w:rsidR="00D076D5" w:rsidRPr="0074017C">
        <w:t xml:space="preserve">7 </w:t>
      </w:r>
      <w:r w:rsidR="007A7A6D" w:rsidRPr="0074017C">
        <w:t xml:space="preserve">provides an example, it </w:t>
      </w:r>
      <w:r w:rsidRPr="0074017C">
        <w:t>lists the prices of 100 mcg/doze budesonide in nasal spray.</w:t>
      </w:r>
    </w:p>
    <w:p w:rsidR="00BE7EF0" w:rsidRPr="0074017C" w:rsidRDefault="00BE7EF0" w:rsidP="00DC10CD">
      <w:pPr>
        <w:spacing w:after="0" w:line="240" w:lineRule="auto"/>
        <w:jc w:val="both"/>
      </w:pPr>
    </w:p>
    <w:p w:rsidR="007A7A6D" w:rsidRPr="0074017C" w:rsidRDefault="007A7A6D" w:rsidP="00DC10CD">
      <w:pPr>
        <w:spacing w:after="0" w:line="240" w:lineRule="auto"/>
        <w:jc w:val="both"/>
      </w:pPr>
      <w:r w:rsidRPr="0074017C">
        <w:t>Table 1</w:t>
      </w:r>
      <w:r w:rsidR="00D076D5" w:rsidRPr="0074017C">
        <w:t>7</w:t>
      </w:r>
      <w:r w:rsidR="00F5237D" w:rsidRPr="0074017C">
        <w:t xml:space="preserve"> – Prices of generic copies of 100 mcg/doze budesonide in nasal </w:t>
      </w:r>
      <w:r w:rsidR="0074017C" w:rsidRPr="0074017C">
        <w:t>spray</w:t>
      </w:r>
    </w:p>
    <w:tbl>
      <w:tblPr>
        <w:tblStyle w:val="TableGrid"/>
        <w:tblW w:w="0" w:type="auto"/>
        <w:tblLook w:val="04A0"/>
      </w:tblPr>
      <w:tblGrid>
        <w:gridCol w:w="1915"/>
        <w:gridCol w:w="1915"/>
        <w:gridCol w:w="1915"/>
        <w:gridCol w:w="1915"/>
        <w:gridCol w:w="1916"/>
      </w:tblGrid>
      <w:tr w:rsidR="00BE7EF0" w:rsidRPr="0074017C" w:rsidTr="00B30A5F">
        <w:tc>
          <w:tcPr>
            <w:tcW w:w="1915" w:type="dxa"/>
          </w:tcPr>
          <w:p w:rsidR="00BE7EF0" w:rsidRPr="0074017C" w:rsidRDefault="00BE7EF0" w:rsidP="00DC10CD">
            <w:pPr>
              <w:jc w:val="both"/>
              <w:rPr>
                <w:b/>
              </w:rPr>
            </w:pPr>
            <w:r w:rsidRPr="0074017C">
              <w:rPr>
                <w:b/>
              </w:rPr>
              <w:t>Brand name</w:t>
            </w:r>
          </w:p>
        </w:tc>
        <w:tc>
          <w:tcPr>
            <w:tcW w:w="1915" w:type="dxa"/>
          </w:tcPr>
          <w:p w:rsidR="00BE7EF0" w:rsidRPr="0074017C" w:rsidRDefault="00BE7EF0" w:rsidP="00DC10CD">
            <w:pPr>
              <w:jc w:val="both"/>
              <w:rPr>
                <w:b/>
              </w:rPr>
            </w:pPr>
            <w:r w:rsidRPr="0074017C">
              <w:rPr>
                <w:b/>
              </w:rPr>
              <w:t>MAH</w:t>
            </w:r>
          </w:p>
        </w:tc>
        <w:tc>
          <w:tcPr>
            <w:tcW w:w="1915" w:type="dxa"/>
          </w:tcPr>
          <w:p w:rsidR="00BE7EF0" w:rsidRPr="0074017C" w:rsidRDefault="00BE7EF0" w:rsidP="00DC10CD">
            <w:pPr>
              <w:jc w:val="both"/>
              <w:rPr>
                <w:b/>
              </w:rPr>
            </w:pPr>
            <w:r w:rsidRPr="0074017C">
              <w:rPr>
                <w:b/>
              </w:rPr>
              <w:t xml:space="preserve">Total price </w:t>
            </w:r>
          </w:p>
        </w:tc>
        <w:tc>
          <w:tcPr>
            <w:tcW w:w="1915" w:type="dxa"/>
          </w:tcPr>
          <w:p w:rsidR="00BE7EF0" w:rsidRPr="0074017C" w:rsidRDefault="00BE7EF0" w:rsidP="00DC10CD">
            <w:pPr>
              <w:jc w:val="both"/>
              <w:rPr>
                <w:b/>
              </w:rPr>
            </w:pPr>
            <w:r w:rsidRPr="0074017C">
              <w:rPr>
                <w:b/>
              </w:rPr>
              <w:t>Co-payment</w:t>
            </w:r>
          </w:p>
        </w:tc>
        <w:tc>
          <w:tcPr>
            <w:tcW w:w="1916" w:type="dxa"/>
          </w:tcPr>
          <w:p w:rsidR="00BE7EF0" w:rsidRPr="0074017C" w:rsidRDefault="00BE7EF0" w:rsidP="00DC10CD">
            <w:pPr>
              <w:jc w:val="both"/>
              <w:rPr>
                <w:b/>
              </w:rPr>
            </w:pPr>
            <w:r w:rsidRPr="0074017C">
              <w:rPr>
                <w:b/>
              </w:rPr>
              <w:t>Reimbursed price</w:t>
            </w:r>
          </w:p>
        </w:tc>
      </w:tr>
      <w:tr w:rsidR="00BE7EF0" w:rsidRPr="0074017C" w:rsidTr="00B30A5F">
        <w:tc>
          <w:tcPr>
            <w:tcW w:w="1915" w:type="dxa"/>
          </w:tcPr>
          <w:p w:rsidR="00BE7EF0" w:rsidRPr="0074017C" w:rsidRDefault="00BE7EF0" w:rsidP="00DC10CD">
            <w:pPr>
              <w:jc w:val="both"/>
            </w:pPr>
            <w:r w:rsidRPr="0074017C">
              <w:t>Buderen</w:t>
            </w:r>
          </w:p>
        </w:tc>
        <w:tc>
          <w:tcPr>
            <w:tcW w:w="1915" w:type="dxa"/>
          </w:tcPr>
          <w:p w:rsidR="00BE7EF0" w:rsidRPr="0074017C" w:rsidRDefault="00BE7EF0" w:rsidP="00DC10CD">
            <w:pPr>
              <w:jc w:val="both"/>
            </w:pPr>
            <w:r w:rsidRPr="0074017C">
              <w:t>Rafarm</w:t>
            </w:r>
          </w:p>
        </w:tc>
        <w:tc>
          <w:tcPr>
            <w:tcW w:w="1915" w:type="dxa"/>
          </w:tcPr>
          <w:p w:rsidR="00BE7EF0" w:rsidRPr="0074017C" w:rsidRDefault="00BE7EF0" w:rsidP="00DC10CD">
            <w:pPr>
              <w:jc w:val="both"/>
            </w:pPr>
            <w:r w:rsidRPr="0074017C">
              <w:t>864,3</w:t>
            </w:r>
          </w:p>
        </w:tc>
        <w:tc>
          <w:tcPr>
            <w:tcW w:w="1915" w:type="dxa"/>
          </w:tcPr>
          <w:p w:rsidR="00BE7EF0" w:rsidRPr="0074017C" w:rsidRDefault="00BE7EF0" w:rsidP="00DC10CD">
            <w:pPr>
              <w:jc w:val="both"/>
            </w:pPr>
            <w:r w:rsidRPr="0074017C">
              <w:t>172,9</w:t>
            </w:r>
          </w:p>
        </w:tc>
        <w:tc>
          <w:tcPr>
            <w:tcW w:w="1916" w:type="dxa"/>
          </w:tcPr>
          <w:p w:rsidR="00BE7EF0" w:rsidRPr="0074017C" w:rsidRDefault="00BE7EF0" w:rsidP="00DC10CD">
            <w:pPr>
              <w:jc w:val="both"/>
            </w:pPr>
            <w:r w:rsidRPr="0074017C">
              <w:t>691,4</w:t>
            </w:r>
          </w:p>
        </w:tc>
      </w:tr>
      <w:tr w:rsidR="00BE7EF0" w:rsidRPr="0074017C" w:rsidTr="00B30A5F">
        <w:tc>
          <w:tcPr>
            <w:tcW w:w="1915" w:type="dxa"/>
          </w:tcPr>
          <w:p w:rsidR="00BE7EF0" w:rsidRPr="0074017C" w:rsidRDefault="00BE7EF0" w:rsidP="00DC10CD">
            <w:pPr>
              <w:jc w:val="both"/>
            </w:pPr>
            <w:r w:rsidRPr="0074017C">
              <w:t>Resata</w:t>
            </w:r>
          </w:p>
        </w:tc>
        <w:tc>
          <w:tcPr>
            <w:tcW w:w="1915" w:type="dxa"/>
          </w:tcPr>
          <w:p w:rsidR="00BE7EF0" w:rsidRPr="0074017C" w:rsidRDefault="00BE7EF0" w:rsidP="00DC10CD">
            <w:pPr>
              <w:jc w:val="both"/>
            </w:pPr>
            <w:r w:rsidRPr="0074017C">
              <w:t>Rafarm</w:t>
            </w:r>
          </w:p>
        </w:tc>
        <w:tc>
          <w:tcPr>
            <w:tcW w:w="1915" w:type="dxa"/>
          </w:tcPr>
          <w:p w:rsidR="00BE7EF0" w:rsidRPr="0074017C" w:rsidRDefault="00BE7EF0" w:rsidP="00DC10CD">
            <w:pPr>
              <w:jc w:val="both"/>
            </w:pPr>
            <w:r w:rsidRPr="0074017C">
              <w:t>911,3</w:t>
            </w:r>
          </w:p>
        </w:tc>
        <w:tc>
          <w:tcPr>
            <w:tcW w:w="1915" w:type="dxa"/>
          </w:tcPr>
          <w:p w:rsidR="00BE7EF0" w:rsidRPr="0074017C" w:rsidRDefault="00BE7EF0" w:rsidP="00DC10CD">
            <w:pPr>
              <w:jc w:val="both"/>
            </w:pPr>
            <w:r w:rsidRPr="0074017C">
              <w:t>219,9</w:t>
            </w:r>
          </w:p>
        </w:tc>
        <w:tc>
          <w:tcPr>
            <w:tcW w:w="1916" w:type="dxa"/>
          </w:tcPr>
          <w:p w:rsidR="00BE7EF0" w:rsidRPr="0074017C" w:rsidRDefault="00BE7EF0" w:rsidP="00DC10CD">
            <w:pPr>
              <w:jc w:val="both"/>
            </w:pPr>
            <w:r w:rsidRPr="0074017C">
              <w:t>691,4</w:t>
            </w:r>
          </w:p>
        </w:tc>
      </w:tr>
      <w:tr w:rsidR="00BE7EF0" w:rsidRPr="0074017C" w:rsidTr="00B30A5F">
        <w:tc>
          <w:tcPr>
            <w:tcW w:w="1915" w:type="dxa"/>
          </w:tcPr>
          <w:p w:rsidR="00BE7EF0" w:rsidRPr="0074017C" w:rsidRDefault="00BE7EF0" w:rsidP="00DC10CD">
            <w:pPr>
              <w:jc w:val="both"/>
            </w:pPr>
            <w:r w:rsidRPr="0074017C">
              <w:t>Talgan</w:t>
            </w:r>
          </w:p>
        </w:tc>
        <w:tc>
          <w:tcPr>
            <w:tcW w:w="1915" w:type="dxa"/>
          </w:tcPr>
          <w:p w:rsidR="00BE7EF0" w:rsidRPr="0074017C" w:rsidRDefault="00BE7EF0" w:rsidP="00DC10CD">
            <w:pPr>
              <w:jc w:val="both"/>
            </w:pPr>
            <w:r w:rsidRPr="0074017C">
              <w:t>Anfarm Hellas</w:t>
            </w:r>
          </w:p>
        </w:tc>
        <w:tc>
          <w:tcPr>
            <w:tcW w:w="1915" w:type="dxa"/>
          </w:tcPr>
          <w:p w:rsidR="00BE7EF0" w:rsidRPr="0074017C" w:rsidRDefault="00BE7EF0" w:rsidP="00DC10CD">
            <w:pPr>
              <w:jc w:val="both"/>
            </w:pPr>
            <w:r w:rsidRPr="0074017C">
              <w:t>1127,3</w:t>
            </w:r>
          </w:p>
        </w:tc>
        <w:tc>
          <w:tcPr>
            <w:tcW w:w="1915" w:type="dxa"/>
          </w:tcPr>
          <w:p w:rsidR="00BE7EF0" w:rsidRPr="0074017C" w:rsidRDefault="00BE7EF0" w:rsidP="00DC10CD">
            <w:pPr>
              <w:jc w:val="both"/>
            </w:pPr>
            <w:r w:rsidRPr="0074017C">
              <w:t>435,9</w:t>
            </w:r>
          </w:p>
        </w:tc>
        <w:tc>
          <w:tcPr>
            <w:tcW w:w="1916" w:type="dxa"/>
          </w:tcPr>
          <w:p w:rsidR="00BE7EF0" w:rsidRPr="0074017C" w:rsidRDefault="00BE7EF0" w:rsidP="00DC10CD">
            <w:pPr>
              <w:jc w:val="both"/>
            </w:pPr>
            <w:r w:rsidRPr="0074017C">
              <w:t>691,4</w:t>
            </w:r>
          </w:p>
        </w:tc>
      </w:tr>
      <w:tr w:rsidR="00BE7EF0" w:rsidRPr="0074017C" w:rsidTr="00B30A5F">
        <w:tc>
          <w:tcPr>
            <w:tcW w:w="1915" w:type="dxa"/>
          </w:tcPr>
          <w:p w:rsidR="00BE7EF0" w:rsidRPr="0074017C" w:rsidRDefault="00BE7EF0" w:rsidP="00DC10CD">
            <w:pPr>
              <w:jc w:val="both"/>
            </w:pPr>
            <w:r w:rsidRPr="0074017C">
              <w:t>Esonide</w:t>
            </w:r>
          </w:p>
        </w:tc>
        <w:tc>
          <w:tcPr>
            <w:tcW w:w="1915" w:type="dxa"/>
          </w:tcPr>
          <w:p w:rsidR="00BE7EF0" w:rsidRPr="0074017C" w:rsidRDefault="00BE7EF0" w:rsidP="00DC10CD">
            <w:pPr>
              <w:jc w:val="both"/>
            </w:pPr>
            <w:r w:rsidRPr="0074017C">
              <w:t>Kleva SA</w:t>
            </w:r>
          </w:p>
        </w:tc>
        <w:tc>
          <w:tcPr>
            <w:tcW w:w="1915" w:type="dxa"/>
          </w:tcPr>
          <w:p w:rsidR="00BE7EF0" w:rsidRPr="0074017C" w:rsidRDefault="00BE7EF0" w:rsidP="00DC10CD">
            <w:pPr>
              <w:jc w:val="both"/>
            </w:pPr>
            <w:r w:rsidRPr="0074017C">
              <w:t>1691</w:t>
            </w:r>
          </w:p>
        </w:tc>
        <w:tc>
          <w:tcPr>
            <w:tcW w:w="1915" w:type="dxa"/>
          </w:tcPr>
          <w:p w:rsidR="00BE7EF0" w:rsidRPr="0074017C" w:rsidRDefault="00BE7EF0" w:rsidP="00DC10CD">
            <w:pPr>
              <w:jc w:val="both"/>
            </w:pPr>
            <w:r w:rsidRPr="0074017C">
              <w:t>999,6</w:t>
            </w:r>
          </w:p>
        </w:tc>
        <w:tc>
          <w:tcPr>
            <w:tcW w:w="1916" w:type="dxa"/>
          </w:tcPr>
          <w:p w:rsidR="00BE7EF0" w:rsidRPr="0074017C" w:rsidRDefault="00BE7EF0" w:rsidP="00DC10CD">
            <w:pPr>
              <w:jc w:val="both"/>
            </w:pPr>
            <w:r w:rsidRPr="0074017C">
              <w:t>691,4</w:t>
            </w:r>
          </w:p>
        </w:tc>
      </w:tr>
    </w:tbl>
    <w:p w:rsidR="00677675" w:rsidRPr="0074017C" w:rsidRDefault="00677675" w:rsidP="00DC10CD">
      <w:pPr>
        <w:spacing w:after="0" w:line="240" w:lineRule="auto"/>
        <w:jc w:val="both"/>
      </w:pPr>
    </w:p>
    <w:p w:rsidR="00BE7EF0" w:rsidRPr="0074017C" w:rsidRDefault="00BE7EF0" w:rsidP="00DC10CD">
      <w:pPr>
        <w:spacing w:after="0" w:line="240" w:lineRule="auto"/>
        <w:jc w:val="both"/>
      </w:pPr>
      <w:r w:rsidRPr="0074017C">
        <w:t xml:space="preserve">The reimbursed price of all is the same – 691,4 LEK. Price cuts demanded for reimbursement on new generics to the lists are implemented in most CEE countries, but they vary from country to country. </w:t>
      </w:r>
      <w:r w:rsidR="00341CDD" w:rsidRPr="0074017C">
        <w:t>The Hungarian Health Insurance Fund is most severe, it demands a 40% price cut from the first generic entry, 20% for the second, 10% for the third and an additional 5% for every subsequent.</w:t>
      </w:r>
    </w:p>
    <w:p w:rsidR="00BE7EF0" w:rsidRPr="0074017C" w:rsidRDefault="00BE7EF0" w:rsidP="00DC10CD">
      <w:pPr>
        <w:spacing w:after="0" w:line="240" w:lineRule="auto"/>
        <w:jc w:val="both"/>
      </w:pPr>
    </w:p>
    <w:p w:rsidR="00BE7EF0" w:rsidRPr="0074017C" w:rsidRDefault="00BE7EF0" w:rsidP="00DC10CD">
      <w:pPr>
        <w:spacing w:after="0" w:line="240" w:lineRule="auto"/>
        <w:jc w:val="both"/>
      </w:pPr>
      <w:r w:rsidRPr="0074017C">
        <w:t>If the Albanian HIF updated the list more often and requested the same as the Hungarian Health Insurance Fund, the reimbursed price of the first generic would have fallen to  414,8 LEK, that of the second to 331,9 LEK, that of the third to 298,7 LEK and that of the fourth to 283,8 LEK.  During next year’s price recalculations, the reimbursed price of the lowest priced version present in the market could have been requested from all copies (internal reference pr</w:t>
      </w:r>
      <w:r w:rsidR="00341CDD" w:rsidRPr="0074017C">
        <w:t>i</w:t>
      </w:r>
      <w:r w:rsidRPr="0074017C">
        <w:t xml:space="preserve">cing at ATC level 5) and the HIF’s expenditure on budesonide could have been reduced by up to 60%. </w:t>
      </w:r>
    </w:p>
    <w:p w:rsidR="00970AA9" w:rsidRPr="0074017C" w:rsidRDefault="00970AA9" w:rsidP="00DC10CD">
      <w:pPr>
        <w:spacing w:after="0" w:line="240" w:lineRule="auto"/>
        <w:jc w:val="both"/>
      </w:pPr>
    </w:p>
    <w:p w:rsidR="00970AA9" w:rsidRPr="0074017C" w:rsidRDefault="00970AA9" w:rsidP="006F6863">
      <w:pPr>
        <w:pStyle w:val="ListParagraph"/>
        <w:numPr>
          <w:ilvl w:val="0"/>
          <w:numId w:val="39"/>
        </w:numPr>
        <w:pBdr>
          <w:top w:val="single" w:sz="4" w:space="1" w:color="auto"/>
          <w:left w:val="single" w:sz="4" w:space="4" w:color="auto"/>
          <w:bottom w:val="single" w:sz="4" w:space="1" w:color="auto"/>
          <w:right w:val="single" w:sz="4" w:space="4" w:color="auto"/>
        </w:pBdr>
        <w:spacing w:after="0" w:line="240" w:lineRule="auto"/>
        <w:jc w:val="both"/>
      </w:pPr>
      <w:r w:rsidRPr="0074017C">
        <w:t xml:space="preserve">In 2013, the HIF paid 5 251 996 Lek for 100 mcg/doze budesonide in nasal </w:t>
      </w:r>
      <w:r w:rsidR="0074017C" w:rsidRPr="0074017C">
        <w:t>spray</w:t>
      </w:r>
      <w:r w:rsidRPr="0074017C">
        <w:t xml:space="preserve">. Had the HIF </w:t>
      </w:r>
      <w:r w:rsidR="006F6863" w:rsidRPr="0074017C">
        <w:t>implemented</w:t>
      </w:r>
      <w:r w:rsidRPr="0074017C">
        <w:t xml:space="preserve"> price cuts equivalent to the Hungarian Health Insurance Fund, a 3 151 196 savings could have been </w:t>
      </w:r>
      <w:r w:rsidR="006F6863" w:rsidRPr="0074017C">
        <w:t xml:space="preserve">demanded from producers. </w:t>
      </w:r>
    </w:p>
    <w:p w:rsidR="00BE7EF0" w:rsidRPr="0074017C" w:rsidRDefault="00BE7EF0" w:rsidP="00DC10CD">
      <w:pPr>
        <w:spacing w:after="0" w:line="240" w:lineRule="auto"/>
        <w:jc w:val="both"/>
      </w:pPr>
    </w:p>
    <w:p w:rsidR="00BE7EF0" w:rsidRPr="0074017C" w:rsidRDefault="00BE7EF0" w:rsidP="00DC10CD">
      <w:pPr>
        <w:spacing w:after="0" w:line="240" w:lineRule="auto"/>
        <w:jc w:val="both"/>
      </w:pPr>
    </w:p>
    <w:p w:rsidR="00B96C50" w:rsidRPr="0074017C" w:rsidRDefault="00B96C50" w:rsidP="00DC10CD">
      <w:pPr>
        <w:spacing w:after="0" w:line="240" w:lineRule="auto"/>
        <w:jc w:val="both"/>
      </w:pPr>
    </w:p>
    <w:p w:rsidR="001F7AF2" w:rsidRPr="0074017C" w:rsidRDefault="0060638F" w:rsidP="00DC10CD">
      <w:pPr>
        <w:pStyle w:val="Heading3"/>
        <w:spacing w:before="0" w:line="240" w:lineRule="auto"/>
      </w:pPr>
      <w:bookmarkStart w:id="15" w:name="_Toc391556313"/>
      <w:r w:rsidRPr="0074017C">
        <w:t xml:space="preserve">Price comparisons to Croatia, </w:t>
      </w:r>
      <w:r w:rsidR="00AC5115" w:rsidRPr="0074017C">
        <w:t>Serbia</w:t>
      </w:r>
      <w:r w:rsidRPr="0074017C">
        <w:t xml:space="preserve"> and FYR Macedonia</w:t>
      </w:r>
      <w:bookmarkEnd w:id="15"/>
    </w:p>
    <w:p w:rsidR="001F7AF2" w:rsidRPr="0074017C" w:rsidRDefault="001F7AF2" w:rsidP="00DC10CD">
      <w:pPr>
        <w:spacing w:after="0" w:line="240" w:lineRule="auto"/>
        <w:jc w:val="both"/>
      </w:pPr>
    </w:p>
    <w:p w:rsidR="00E70D9F" w:rsidRPr="0074017C" w:rsidRDefault="00D076D5" w:rsidP="00DC10CD">
      <w:pPr>
        <w:spacing w:after="0" w:line="240" w:lineRule="auto"/>
        <w:jc w:val="both"/>
      </w:pPr>
      <w:r w:rsidRPr="0074017C">
        <w:t>Table 18</w:t>
      </w:r>
      <w:r w:rsidR="00E70D9F" w:rsidRPr="0074017C">
        <w:t xml:space="preserve"> compares wholesale prices of 20 selected medicines between Albania, Croatia, Serbia and FYR Macedonia. </w:t>
      </w:r>
      <w:r w:rsidR="00314E48" w:rsidRPr="0074017C">
        <w:t>Products</w:t>
      </w:r>
      <w:r w:rsidR="00E70D9F" w:rsidRPr="0074017C">
        <w:t xml:space="preserve"> were selected based on high unit price, </w:t>
      </w:r>
      <w:r w:rsidR="00314E48" w:rsidRPr="0074017C">
        <w:t xml:space="preserve">internationally </w:t>
      </w:r>
      <w:r w:rsidR="00E70D9F" w:rsidRPr="0074017C">
        <w:t xml:space="preserve">prescribed quantities </w:t>
      </w:r>
      <w:r w:rsidR="00314E48" w:rsidRPr="0074017C">
        <w:t xml:space="preserve">(blockbusters) </w:t>
      </w:r>
      <w:r w:rsidR="00E70D9F" w:rsidRPr="0074017C">
        <w:t>or potential for expenditure growth</w:t>
      </w:r>
      <w:r w:rsidR="00314E48" w:rsidRPr="0074017C">
        <w:t xml:space="preserve"> in the future</w:t>
      </w:r>
      <w:r w:rsidR="00E70D9F" w:rsidRPr="0074017C">
        <w:t xml:space="preserve">. Serbia and FYR Macedonia were selected as comparator countries due to geographic vicinity and </w:t>
      </w:r>
      <w:r w:rsidR="00314E48" w:rsidRPr="0074017C">
        <w:t>similarity of economic context. Croatia was selected based on geographic vicinity and due to the fact that it is the last country to have joined the European Union – which all mentioned countries aspire to. The latter has proven to be an important factor in the Croatian national pricing and reimbursement process. As a number of EU countries reference prices in all EU member states, companies have for some time been highly reluctant to reduce listed prices in Croatia. Furthermore, it should be noted that as Croatia widely implemented managed entry agreements and financial discounts and discounts in stock as early as 2009, Croatian</w:t>
      </w:r>
      <w:r w:rsidR="007A7A6D" w:rsidRPr="0074017C">
        <w:t xml:space="preserve"> published</w:t>
      </w:r>
      <w:r w:rsidR="00314E48" w:rsidRPr="0074017C">
        <w:t xml:space="preserve"> prices do not </w:t>
      </w:r>
      <w:r w:rsidR="00677675" w:rsidRPr="0074017C">
        <w:t xml:space="preserve">necessarily </w:t>
      </w:r>
      <w:r w:rsidR="00314E48" w:rsidRPr="0074017C">
        <w:t xml:space="preserve">reflect what is actually being paid for. Additionally, the majority of pharmaceutical companies </w:t>
      </w:r>
      <w:r w:rsidR="00307069" w:rsidRPr="0074017C">
        <w:t xml:space="preserve">group former Yugoslavian republics and Albania as the </w:t>
      </w:r>
      <w:r w:rsidR="00314E48" w:rsidRPr="0074017C">
        <w:t>Western Balkans</w:t>
      </w:r>
      <w:r w:rsidR="00307069" w:rsidRPr="0074017C">
        <w:t>/Adria</w:t>
      </w:r>
      <w:r w:rsidR="00314E48" w:rsidRPr="0074017C">
        <w:t xml:space="preserve"> region</w:t>
      </w:r>
      <w:r w:rsidR="00307069" w:rsidRPr="0074017C">
        <w:t>, which implies consolidated</w:t>
      </w:r>
      <w:r w:rsidR="006561B6" w:rsidRPr="0074017C">
        <w:t xml:space="preserve"> regional</w:t>
      </w:r>
      <w:r w:rsidR="00307069" w:rsidRPr="0074017C">
        <w:t xml:space="preserve"> pricing strategies</w:t>
      </w:r>
      <w:r w:rsidR="00314E48" w:rsidRPr="0074017C">
        <w:t xml:space="preserve">. </w:t>
      </w:r>
    </w:p>
    <w:p w:rsidR="00E70D9F" w:rsidRPr="0074017C" w:rsidRDefault="00731DF1" w:rsidP="00DC10CD">
      <w:pPr>
        <w:tabs>
          <w:tab w:val="left" w:pos="1340"/>
        </w:tabs>
        <w:spacing w:after="0" w:line="240" w:lineRule="auto"/>
        <w:jc w:val="both"/>
      </w:pPr>
      <w:r w:rsidRPr="0074017C">
        <w:tab/>
      </w:r>
    </w:p>
    <w:p w:rsidR="00FB0313" w:rsidRPr="0074017C" w:rsidRDefault="00FB0313" w:rsidP="00DC10CD">
      <w:pPr>
        <w:spacing w:after="0" w:line="240" w:lineRule="auto"/>
        <w:jc w:val="both"/>
      </w:pPr>
      <w:r w:rsidRPr="0074017C">
        <w:t>Exchange rates used</w:t>
      </w:r>
      <w:r w:rsidR="00B23FE5" w:rsidRPr="0074017C">
        <w:t>:</w:t>
      </w:r>
    </w:p>
    <w:p w:rsidR="00FB0313" w:rsidRPr="0074017C" w:rsidRDefault="00FB0313" w:rsidP="00DC10CD">
      <w:pPr>
        <w:spacing w:after="0" w:line="240" w:lineRule="auto"/>
        <w:jc w:val="both"/>
      </w:pPr>
      <w:r w:rsidRPr="0074017C">
        <w:t>Bank of Albania, 21 May 2014</w:t>
      </w:r>
      <w:r w:rsidRPr="0074017C">
        <w:rPr>
          <w:rStyle w:val="FootnoteReference"/>
        </w:rPr>
        <w:footnoteReference w:id="19"/>
      </w:r>
      <w:r w:rsidR="001D6FB1" w:rsidRPr="0074017C">
        <w:t>;</w:t>
      </w:r>
      <w:r w:rsidRPr="0074017C">
        <w:t xml:space="preserve"> 1USD= 102,17 LEK</w:t>
      </w:r>
    </w:p>
    <w:p w:rsidR="00FB0313" w:rsidRPr="0074017C" w:rsidRDefault="00FB0313" w:rsidP="00DC10CD">
      <w:pPr>
        <w:spacing w:after="0" w:line="240" w:lineRule="auto"/>
        <w:jc w:val="both"/>
      </w:pPr>
      <w:r w:rsidRPr="0074017C">
        <w:t>Croatian National Bank</w:t>
      </w:r>
      <w:r w:rsidR="00AA1C12" w:rsidRPr="0074017C">
        <w:rPr>
          <w:rStyle w:val="FootnoteReference"/>
        </w:rPr>
        <w:footnoteReference w:id="20"/>
      </w:r>
      <w:r w:rsidR="001D6FB1" w:rsidRPr="0074017C">
        <w:t>, 21 May 2014;</w:t>
      </w:r>
      <w:r w:rsidRPr="0074017C">
        <w:t xml:space="preserve"> 1 USD= 5,54 HRK </w:t>
      </w:r>
    </w:p>
    <w:p w:rsidR="00FB0313" w:rsidRPr="0074017C" w:rsidRDefault="00AA1C12" w:rsidP="00DC10CD">
      <w:pPr>
        <w:spacing w:after="0" w:line="240" w:lineRule="auto"/>
        <w:jc w:val="both"/>
      </w:pPr>
      <w:r w:rsidRPr="0074017C">
        <w:t>Serbian National Bank</w:t>
      </w:r>
      <w:r w:rsidR="00DA094E" w:rsidRPr="0074017C">
        <w:rPr>
          <w:rStyle w:val="FootnoteReference"/>
        </w:rPr>
        <w:footnoteReference w:id="21"/>
      </w:r>
      <w:r w:rsidR="001D6FB1" w:rsidRPr="0074017C">
        <w:t xml:space="preserve">, 21 May, 2014; </w:t>
      </w:r>
      <w:r w:rsidRPr="0074017C">
        <w:t>1 USD= 84.46</w:t>
      </w:r>
    </w:p>
    <w:p w:rsidR="001D6FB1" w:rsidRPr="0074017C" w:rsidRDefault="001D6FB1" w:rsidP="00DC10CD">
      <w:pPr>
        <w:spacing w:after="0" w:line="240" w:lineRule="auto"/>
        <w:jc w:val="both"/>
      </w:pPr>
      <w:r w:rsidRPr="0074017C">
        <w:t>Macedonian National Bank</w:t>
      </w:r>
      <w:r w:rsidR="00380002" w:rsidRPr="0074017C">
        <w:rPr>
          <w:rStyle w:val="FootnoteReference"/>
        </w:rPr>
        <w:footnoteReference w:id="22"/>
      </w:r>
      <w:r w:rsidRPr="0074017C">
        <w:t>, 21 May 2014; 1 USD=44,95 MKD</w:t>
      </w:r>
    </w:p>
    <w:p w:rsidR="00AA1C12" w:rsidRPr="0074017C" w:rsidRDefault="00AA1C12" w:rsidP="00DC10CD">
      <w:pPr>
        <w:spacing w:after="0" w:line="240" w:lineRule="auto"/>
        <w:jc w:val="both"/>
      </w:pPr>
    </w:p>
    <w:p w:rsidR="00B23FE5" w:rsidRPr="0074017C" w:rsidRDefault="00B23FE5" w:rsidP="00DC10CD">
      <w:pPr>
        <w:spacing w:after="0" w:line="240" w:lineRule="auto"/>
        <w:jc w:val="both"/>
      </w:pPr>
      <w:r w:rsidRPr="0074017C">
        <w:t>Methodology</w:t>
      </w:r>
      <w:r w:rsidR="00E70D9F" w:rsidRPr="0074017C">
        <w:t xml:space="preserve"> of calculation</w:t>
      </w:r>
      <w:r w:rsidRPr="0074017C">
        <w:t>:</w:t>
      </w:r>
    </w:p>
    <w:p w:rsidR="0015706B" w:rsidRPr="0074017C" w:rsidRDefault="0015706B" w:rsidP="00DC10CD">
      <w:pPr>
        <w:spacing w:after="0" w:line="240" w:lineRule="auto"/>
        <w:jc w:val="both"/>
      </w:pPr>
      <w:r w:rsidRPr="0074017C">
        <w:lastRenderedPageBreak/>
        <w:t>Retail margin (26%) deduced from the retail price to derive the Albanian wholesale price for prescription medicines.</w:t>
      </w:r>
      <w:r w:rsidR="00E70D9F" w:rsidRPr="0074017C">
        <w:t>Expensive outpatient medicines</w:t>
      </w:r>
      <w:r w:rsidR="00267F7A" w:rsidRPr="0074017C">
        <w:t xml:space="preserve">haveno retail margin in Albania. </w:t>
      </w:r>
      <w:r w:rsidR="00B23FE5" w:rsidRPr="0074017C">
        <w:t xml:space="preserve">Croatian, Macedonian and Serbian </w:t>
      </w:r>
      <w:r w:rsidR="00E70D9F" w:rsidRPr="0074017C">
        <w:t xml:space="preserve">prices do not contain VAT. </w:t>
      </w:r>
    </w:p>
    <w:p w:rsidR="0015706B" w:rsidRPr="0074017C" w:rsidRDefault="0015706B" w:rsidP="00DC10CD">
      <w:pPr>
        <w:spacing w:after="0" w:line="240" w:lineRule="auto"/>
        <w:jc w:val="both"/>
      </w:pPr>
    </w:p>
    <w:p w:rsidR="00E70D9F" w:rsidRPr="0074017C" w:rsidRDefault="00E70D9F" w:rsidP="00DC10CD">
      <w:pPr>
        <w:spacing w:after="0" w:line="240" w:lineRule="auto"/>
        <w:jc w:val="both"/>
      </w:pPr>
      <w:r w:rsidRPr="0074017C">
        <w:t>Out of the sample</w:t>
      </w:r>
      <w:r w:rsidR="007A7A6D" w:rsidRPr="0074017C">
        <w:t xml:space="preserve"> of 20 medicines</w:t>
      </w:r>
      <w:r w:rsidRPr="0074017C">
        <w:t>, Diovan</w:t>
      </w:r>
      <w:r w:rsidR="006561B6" w:rsidRPr="0074017C">
        <w:t>, RisperidalConsta</w:t>
      </w:r>
      <w:r w:rsidRPr="0074017C">
        <w:t xml:space="preserve"> and Gylenia produced by Novartis </w:t>
      </w:r>
      <w:r w:rsidR="00E56C6D" w:rsidRPr="0074017C">
        <w:t>are</w:t>
      </w:r>
      <w:r w:rsidRPr="0074017C">
        <w:t xml:space="preserve"> the only medicine cheapest in Albania. </w:t>
      </w:r>
      <w:r w:rsidR="00307069" w:rsidRPr="0074017C">
        <w:t xml:space="preserve">Serbia and FYR Macedonia, however, do not reimburse neither. Other cheaper generic valsartans are reimbursed. All other medicines </w:t>
      </w:r>
      <w:r w:rsidR="00E56C6D" w:rsidRPr="0074017C">
        <w:t>are</w:t>
      </w:r>
      <w:r w:rsidR="00307069" w:rsidRPr="0074017C">
        <w:t xml:space="preserve"> cheaper in at least one of the three comparator countries – the majority substantially so. This implies that Albania, particularly if its economic context is taken into consideration, has plenty potential to reduce prices of medicines. </w:t>
      </w:r>
    </w:p>
    <w:p w:rsidR="00307069" w:rsidRPr="0074017C" w:rsidRDefault="00307069" w:rsidP="00DC10CD">
      <w:pPr>
        <w:spacing w:after="0" w:line="240" w:lineRule="auto"/>
        <w:jc w:val="both"/>
      </w:pPr>
    </w:p>
    <w:p w:rsidR="00307069" w:rsidRPr="0074017C" w:rsidRDefault="007A7A6D" w:rsidP="00DC10CD">
      <w:pPr>
        <w:spacing w:after="0" w:line="240" w:lineRule="auto"/>
        <w:jc w:val="both"/>
      </w:pPr>
      <w:r w:rsidRPr="0074017C">
        <w:t>Table 1</w:t>
      </w:r>
      <w:r w:rsidR="00D076D5" w:rsidRPr="0074017C">
        <w:t>8</w:t>
      </w:r>
      <w:r w:rsidR="00F5237D" w:rsidRPr="0074017C">
        <w:t xml:space="preserve"> – Price comparisons of selected products in Albania, Croatia, Serbia and Macedonia</w:t>
      </w:r>
    </w:p>
    <w:tbl>
      <w:tblPr>
        <w:tblStyle w:val="TableGrid"/>
        <w:tblW w:w="5000" w:type="pct"/>
        <w:tblLook w:val="04A0"/>
      </w:tblPr>
      <w:tblGrid>
        <w:gridCol w:w="3855"/>
        <w:gridCol w:w="1013"/>
        <w:gridCol w:w="1125"/>
        <w:gridCol w:w="1125"/>
        <w:gridCol w:w="1125"/>
        <w:gridCol w:w="1333"/>
      </w:tblGrid>
      <w:tr w:rsidR="003D2C14" w:rsidRPr="0074017C" w:rsidTr="00875271">
        <w:tc>
          <w:tcPr>
            <w:tcW w:w="2013" w:type="pct"/>
          </w:tcPr>
          <w:p w:rsidR="003D2C14" w:rsidRPr="0074017C" w:rsidRDefault="003D2C14" w:rsidP="00DC10CD">
            <w:pPr>
              <w:jc w:val="both"/>
              <w:rPr>
                <w:b/>
              </w:rPr>
            </w:pPr>
          </w:p>
        </w:tc>
        <w:tc>
          <w:tcPr>
            <w:tcW w:w="529" w:type="pct"/>
          </w:tcPr>
          <w:p w:rsidR="003D2C14" w:rsidRPr="0074017C" w:rsidRDefault="003D2C14" w:rsidP="00DC10CD">
            <w:pPr>
              <w:jc w:val="both"/>
              <w:rPr>
                <w:b/>
              </w:rPr>
            </w:pPr>
            <w:r w:rsidRPr="0074017C">
              <w:rPr>
                <w:b/>
              </w:rPr>
              <w:t>Albanian retail price</w:t>
            </w:r>
          </w:p>
        </w:tc>
        <w:tc>
          <w:tcPr>
            <w:tcW w:w="587" w:type="pct"/>
          </w:tcPr>
          <w:p w:rsidR="003D2C14" w:rsidRPr="0074017C" w:rsidRDefault="003D2C14" w:rsidP="00DC10CD">
            <w:pPr>
              <w:jc w:val="both"/>
              <w:rPr>
                <w:b/>
              </w:rPr>
            </w:pPr>
            <w:r w:rsidRPr="0074017C">
              <w:rPr>
                <w:b/>
              </w:rPr>
              <w:t>Alb</w:t>
            </w:r>
            <w:r w:rsidR="00323085" w:rsidRPr="0074017C">
              <w:rPr>
                <w:b/>
              </w:rPr>
              <w:t>anian</w:t>
            </w:r>
            <w:r w:rsidRPr="0074017C">
              <w:rPr>
                <w:b/>
              </w:rPr>
              <w:t xml:space="preserve"> wholesale price</w:t>
            </w:r>
            <w:r w:rsidR="0093343D" w:rsidRPr="0074017C">
              <w:rPr>
                <w:b/>
              </w:rPr>
              <w:t xml:space="preserve"> (/1,26)</w:t>
            </w:r>
          </w:p>
        </w:tc>
        <w:tc>
          <w:tcPr>
            <w:tcW w:w="587" w:type="pct"/>
          </w:tcPr>
          <w:p w:rsidR="003D2C14" w:rsidRPr="0074017C" w:rsidRDefault="003D2C14" w:rsidP="00DC10CD">
            <w:pPr>
              <w:jc w:val="both"/>
              <w:rPr>
                <w:b/>
              </w:rPr>
            </w:pPr>
            <w:r w:rsidRPr="0074017C">
              <w:rPr>
                <w:b/>
              </w:rPr>
              <w:t>Croatian wholesale price</w:t>
            </w:r>
          </w:p>
        </w:tc>
        <w:tc>
          <w:tcPr>
            <w:tcW w:w="587" w:type="pct"/>
          </w:tcPr>
          <w:p w:rsidR="003D2C14" w:rsidRPr="0074017C" w:rsidRDefault="003D2C14" w:rsidP="00DC10CD">
            <w:pPr>
              <w:jc w:val="both"/>
              <w:rPr>
                <w:b/>
              </w:rPr>
            </w:pPr>
            <w:r w:rsidRPr="0074017C">
              <w:rPr>
                <w:b/>
              </w:rPr>
              <w:t>Serbian wholesale price</w:t>
            </w:r>
          </w:p>
        </w:tc>
        <w:tc>
          <w:tcPr>
            <w:tcW w:w="696" w:type="pct"/>
          </w:tcPr>
          <w:p w:rsidR="003D2C14" w:rsidRPr="0074017C" w:rsidRDefault="003D2C14" w:rsidP="00DC10CD">
            <w:pPr>
              <w:jc w:val="both"/>
              <w:rPr>
                <w:b/>
              </w:rPr>
            </w:pPr>
            <w:r w:rsidRPr="0074017C">
              <w:rPr>
                <w:b/>
              </w:rPr>
              <w:t>Macedonian wholesale price</w:t>
            </w:r>
          </w:p>
        </w:tc>
      </w:tr>
      <w:tr w:rsidR="003D2C14" w:rsidRPr="0074017C" w:rsidTr="0074017C">
        <w:tc>
          <w:tcPr>
            <w:tcW w:w="1525" w:type="pct"/>
          </w:tcPr>
          <w:p w:rsidR="003D2C14" w:rsidRPr="0074017C" w:rsidRDefault="003D2C14" w:rsidP="00DC10CD">
            <w:pPr>
              <w:jc w:val="both"/>
            </w:pPr>
            <w:r w:rsidRPr="0074017C">
              <w:t xml:space="preserve">Insulin Glargine 100 UI/ml – 3ml; pre-filled pen; Lantus Solostar; Aventis </w:t>
            </w:r>
          </w:p>
        </w:tc>
        <w:tc>
          <w:tcPr>
            <w:tcW w:w="693" w:type="pct"/>
          </w:tcPr>
          <w:p w:rsidR="003D2C14" w:rsidRPr="0074017C" w:rsidRDefault="003D2C14" w:rsidP="00DC10CD">
            <w:pPr>
              <w:jc w:val="both"/>
            </w:pPr>
            <w:r w:rsidRPr="0074017C">
              <w:t xml:space="preserve">18,50 </w:t>
            </w:r>
          </w:p>
        </w:tc>
        <w:tc>
          <w:tcPr>
            <w:tcW w:w="700" w:type="pct"/>
          </w:tcPr>
          <w:p w:rsidR="003D2C14" w:rsidRPr="0074017C" w:rsidRDefault="0093343D" w:rsidP="00DC10CD">
            <w:pPr>
              <w:jc w:val="both"/>
            </w:pPr>
            <w:r w:rsidRPr="0074017C">
              <w:t>14,68</w:t>
            </w:r>
          </w:p>
        </w:tc>
        <w:tc>
          <w:tcPr>
            <w:tcW w:w="654" w:type="pct"/>
          </w:tcPr>
          <w:p w:rsidR="003D2C14" w:rsidRPr="0074017C" w:rsidRDefault="003D2C14" w:rsidP="00DC10CD">
            <w:pPr>
              <w:jc w:val="both"/>
            </w:pPr>
            <w:r w:rsidRPr="0074017C">
              <w:t>12,59</w:t>
            </w:r>
          </w:p>
        </w:tc>
        <w:tc>
          <w:tcPr>
            <w:tcW w:w="654" w:type="pct"/>
            <w:shd w:val="clear" w:color="auto" w:fill="D9D9D9" w:themeFill="background1" w:themeFillShade="D9"/>
          </w:tcPr>
          <w:p w:rsidR="003D2C14" w:rsidRPr="0074017C" w:rsidRDefault="00DA094E" w:rsidP="00DC10CD">
            <w:pPr>
              <w:jc w:val="both"/>
            </w:pPr>
            <w:r w:rsidRPr="0074017C">
              <w:t>11,10</w:t>
            </w:r>
          </w:p>
        </w:tc>
        <w:tc>
          <w:tcPr>
            <w:tcW w:w="774" w:type="pct"/>
          </w:tcPr>
          <w:p w:rsidR="003D2C14" w:rsidRPr="0074017C" w:rsidRDefault="001D6FB1" w:rsidP="00DC10CD">
            <w:pPr>
              <w:jc w:val="both"/>
            </w:pPr>
            <w:r w:rsidRPr="0074017C">
              <w:t>12,67</w:t>
            </w:r>
          </w:p>
        </w:tc>
      </w:tr>
      <w:tr w:rsidR="003D2C14" w:rsidRPr="0074017C" w:rsidTr="0074017C">
        <w:tc>
          <w:tcPr>
            <w:tcW w:w="1525" w:type="pct"/>
          </w:tcPr>
          <w:p w:rsidR="003D2C14" w:rsidRPr="0074017C" w:rsidRDefault="003D2C14" w:rsidP="00DC10CD">
            <w:pPr>
              <w:jc w:val="both"/>
            </w:pPr>
            <w:r w:rsidRPr="0074017C">
              <w:t>Insulin Detemir 100 UI/ml – 3ml, pre-filled pen; LevemirFlexpen; Novo Nordisk</w:t>
            </w:r>
          </w:p>
        </w:tc>
        <w:tc>
          <w:tcPr>
            <w:tcW w:w="693" w:type="pct"/>
          </w:tcPr>
          <w:p w:rsidR="003D2C14" w:rsidRPr="0074017C" w:rsidRDefault="003D2C14" w:rsidP="00DC10CD">
            <w:pPr>
              <w:jc w:val="both"/>
            </w:pPr>
            <w:r w:rsidRPr="0074017C">
              <w:t>17,53</w:t>
            </w:r>
          </w:p>
        </w:tc>
        <w:tc>
          <w:tcPr>
            <w:tcW w:w="700" w:type="pct"/>
          </w:tcPr>
          <w:p w:rsidR="003D2C14" w:rsidRPr="0074017C" w:rsidRDefault="0093343D" w:rsidP="00DC10CD">
            <w:pPr>
              <w:jc w:val="both"/>
            </w:pPr>
            <w:r w:rsidRPr="0074017C">
              <w:t>13,91</w:t>
            </w:r>
          </w:p>
        </w:tc>
        <w:tc>
          <w:tcPr>
            <w:tcW w:w="654" w:type="pct"/>
          </w:tcPr>
          <w:p w:rsidR="003D2C14" w:rsidRPr="0074017C" w:rsidRDefault="003D2C14" w:rsidP="00DC10CD">
            <w:pPr>
              <w:jc w:val="both"/>
            </w:pPr>
            <w:r w:rsidRPr="0074017C">
              <w:t>13,47</w:t>
            </w:r>
          </w:p>
        </w:tc>
        <w:tc>
          <w:tcPr>
            <w:tcW w:w="654" w:type="pct"/>
            <w:shd w:val="clear" w:color="auto" w:fill="D9D9D9" w:themeFill="background1" w:themeFillShade="D9"/>
          </w:tcPr>
          <w:p w:rsidR="003D2C14" w:rsidRPr="0074017C" w:rsidRDefault="00DA094E" w:rsidP="00DC10CD">
            <w:pPr>
              <w:jc w:val="both"/>
            </w:pPr>
            <w:r w:rsidRPr="0074017C">
              <w:t>12,41</w:t>
            </w:r>
          </w:p>
        </w:tc>
        <w:tc>
          <w:tcPr>
            <w:tcW w:w="774" w:type="pct"/>
          </w:tcPr>
          <w:p w:rsidR="003D2C14" w:rsidRPr="0074017C" w:rsidRDefault="001D6FB1" w:rsidP="00DC10CD">
            <w:pPr>
              <w:jc w:val="both"/>
            </w:pPr>
            <w:r w:rsidRPr="0074017C">
              <w:t>12,99</w:t>
            </w:r>
          </w:p>
        </w:tc>
      </w:tr>
      <w:tr w:rsidR="003D2C14" w:rsidRPr="0074017C" w:rsidTr="0074017C">
        <w:tc>
          <w:tcPr>
            <w:tcW w:w="1525" w:type="pct"/>
          </w:tcPr>
          <w:p w:rsidR="003D2C14" w:rsidRPr="0074017C" w:rsidRDefault="003D2C14" w:rsidP="00DC10CD">
            <w:pPr>
              <w:jc w:val="both"/>
            </w:pPr>
            <w:r w:rsidRPr="0074017C">
              <w:t>InsulineLispro 100 NJ.N/ml – 3ml; kwikpen; Humalog; Eli Lilly</w:t>
            </w:r>
          </w:p>
        </w:tc>
        <w:tc>
          <w:tcPr>
            <w:tcW w:w="693" w:type="pct"/>
          </w:tcPr>
          <w:p w:rsidR="003D2C14" w:rsidRPr="0074017C" w:rsidRDefault="003D2C14" w:rsidP="00DC10CD">
            <w:pPr>
              <w:jc w:val="both"/>
            </w:pPr>
            <w:r w:rsidRPr="0074017C">
              <w:t>9,87</w:t>
            </w:r>
          </w:p>
        </w:tc>
        <w:tc>
          <w:tcPr>
            <w:tcW w:w="700" w:type="pct"/>
          </w:tcPr>
          <w:p w:rsidR="003D2C14" w:rsidRPr="0074017C" w:rsidRDefault="0093343D" w:rsidP="00DC10CD">
            <w:pPr>
              <w:jc w:val="both"/>
            </w:pPr>
            <w:r w:rsidRPr="0074017C">
              <w:t>7,83</w:t>
            </w:r>
          </w:p>
        </w:tc>
        <w:tc>
          <w:tcPr>
            <w:tcW w:w="654" w:type="pct"/>
          </w:tcPr>
          <w:p w:rsidR="003D2C14" w:rsidRPr="0074017C" w:rsidRDefault="003D2C14" w:rsidP="00DC10CD">
            <w:pPr>
              <w:jc w:val="both"/>
            </w:pPr>
            <w:r w:rsidRPr="0074017C">
              <w:t>9,31</w:t>
            </w:r>
          </w:p>
        </w:tc>
        <w:tc>
          <w:tcPr>
            <w:tcW w:w="654" w:type="pct"/>
            <w:shd w:val="clear" w:color="auto" w:fill="D9D9D9" w:themeFill="background1" w:themeFillShade="D9"/>
          </w:tcPr>
          <w:p w:rsidR="003D2C14" w:rsidRPr="0074017C" w:rsidRDefault="00DA094E" w:rsidP="00DC10CD">
            <w:pPr>
              <w:jc w:val="both"/>
            </w:pPr>
            <w:r w:rsidRPr="0074017C">
              <w:t>4,97</w:t>
            </w:r>
          </w:p>
        </w:tc>
        <w:tc>
          <w:tcPr>
            <w:tcW w:w="774" w:type="pct"/>
          </w:tcPr>
          <w:p w:rsidR="003D2C14" w:rsidRPr="0074017C" w:rsidRDefault="001D6FB1" w:rsidP="00DC10CD">
            <w:pPr>
              <w:jc w:val="both"/>
            </w:pPr>
            <w:r w:rsidRPr="0074017C">
              <w:t>7,86</w:t>
            </w:r>
          </w:p>
        </w:tc>
      </w:tr>
      <w:tr w:rsidR="003D2C14" w:rsidRPr="0074017C" w:rsidTr="0074017C">
        <w:trPr>
          <w:trHeight w:val="620"/>
        </w:trPr>
        <w:tc>
          <w:tcPr>
            <w:tcW w:w="1525" w:type="pct"/>
          </w:tcPr>
          <w:p w:rsidR="003D2C14" w:rsidRPr="0074017C" w:rsidRDefault="003D2C14" w:rsidP="00DC10CD">
            <w:pPr>
              <w:jc w:val="both"/>
            </w:pPr>
            <w:r w:rsidRPr="0074017C">
              <w:t>Valsartan 160 mg tbl, Diovan, Novartis</w:t>
            </w:r>
          </w:p>
        </w:tc>
        <w:tc>
          <w:tcPr>
            <w:tcW w:w="693" w:type="pct"/>
          </w:tcPr>
          <w:p w:rsidR="003D2C14" w:rsidRPr="0074017C" w:rsidRDefault="003D2C14" w:rsidP="00DC10CD">
            <w:pPr>
              <w:jc w:val="both"/>
            </w:pPr>
            <w:r w:rsidRPr="0074017C">
              <w:t>0,61</w:t>
            </w:r>
          </w:p>
        </w:tc>
        <w:tc>
          <w:tcPr>
            <w:tcW w:w="700" w:type="pct"/>
            <w:shd w:val="clear" w:color="auto" w:fill="D9D9D9" w:themeFill="background1" w:themeFillShade="D9"/>
          </w:tcPr>
          <w:p w:rsidR="003D2C14" w:rsidRPr="0074017C" w:rsidRDefault="0093343D" w:rsidP="00DC10CD">
            <w:pPr>
              <w:jc w:val="both"/>
            </w:pPr>
            <w:r w:rsidRPr="0074017C">
              <w:t>0,48</w:t>
            </w:r>
          </w:p>
        </w:tc>
        <w:tc>
          <w:tcPr>
            <w:tcW w:w="654" w:type="pct"/>
          </w:tcPr>
          <w:p w:rsidR="003D2C14" w:rsidRPr="0074017C" w:rsidRDefault="003D2C14" w:rsidP="00DC10CD">
            <w:pPr>
              <w:jc w:val="both"/>
            </w:pPr>
            <w:r w:rsidRPr="0074017C">
              <w:t>0,91</w:t>
            </w:r>
          </w:p>
        </w:tc>
        <w:tc>
          <w:tcPr>
            <w:tcW w:w="654" w:type="pct"/>
          </w:tcPr>
          <w:p w:rsidR="003D2C14" w:rsidRPr="0074017C" w:rsidRDefault="00B43FDD" w:rsidP="00DC10CD">
            <w:pPr>
              <w:jc w:val="both"/>
            </w:pPr>
            <w:r w:rsidRPr="0074017C">
              <w:t>-</w:t>
            </w:r>
          </w:p>
        </w:tc>
        <w:tc>
          <w:tcPr>
            <w:tcW w:w="774" w:type="pct"/>
          </w:tcPr>
          <w:p w:rsidR="003D2C14" w:rsidRPr="0074017C" w:rsidRDefault="001D6FB1" w:rsidP="00DC10CD">
            <w:pPr>
              <w:jc w:val="both"/>
            </w:pPr>
            <w:r w:rsidRPr="0074017C">
              <w:t>-</w:t>
            </w:r>
          </w:p>
        </w:tc>
      </w:tr>
      <w:tr w:rsidR="003D2C14" w:rsidRPr="0074017C" w:rsidTr="0074017C">
        <w:tc>
          <w:tcPr>
            <w:tcW w:w="1525" w:type="pct"/>
          </w:tcPr>
          <w:p w:rsidR="003D2C14" w:rsidRPr="0074017C" w:rsidRDefault="003D2C14" w:rsidP="00DC10CD">
            <w:pPr>
              <w:jc w:val="both"/>
            </w:pPr>
            <w:r w:rsidRPr="0074017C">
              <w:t>Atorvastatin 10mg  + amlodipine 10mg tbl; Caduet; Pfizer</w:t>
            </w:r>
          </w:p>
        </w:tc>
        <w:tc>
          <w:tcPr>
            <w:tcW w:w="693" w:type="pct"/>
          </w:tcPr>
          <w:p w:rsidR="003D2C14" w:rsidRPr="0074017C" w:rsidRDefault="003D2C14" w:rsidP="00DC10CD">
            <w:pPr>
              <w:jc w:val="both"/>
            </w:pPr>
            <w:r w:rsidRPr="0074017C">
              <w:t>0,65</w:t>
            </w:r>
          </w:p>
        </w:tc>
        <w:tc>
          <w:tcPr>
            <w:tcW w:w="700" w:type="pct"/>
          </w:tcPr>
          <w:p w:rsidR="003D2C14" w:rsidRPr="0074017C" w:rsidRDefault="0093343D" w:rsidP="00DC10CD">
            <w:pPr>
              <w:jc w:val="both"/>
            </w:pPr>
            <w:r w:rsidRPr="0074017C">
              <w:t>0,52</w:t>
            </w:r>
          </w:p>
        </w:tc>
        <w:tc>
          <w:tcPr>
            <w:tcW w:w="654" w:type="pct"/>
            <w:shd w:val="clear" w:color="auto" w:fill="D9D9D9" w:themeFill="background1" w:themeFillShade="D9"/>
          </w:tcPr>
          <w:p w:rsidR="003D2C14" w:rsidRPr="0074017C" w:rsidRDefault="003D2C14" w:rsidP="00DC10CD">
            <w:pPr>
              <w:jc w:val="both"/>
            </w:pPr>
            <w:r w:rsidRPr="0074017C">
              <w:t>0,07</w:t>
            </w:r>
          </w:p>
        </w:tc>
        <w:tc>
          <w:tcPr>
            <w:tcW w:w="654" w:type="pct"/>
          </w:tcPr>
          <w:p w:rsidR="003D2C14" w:rsidRPr="0074017C" w:rsidRDefault="00B43FDD" w:rsidP="00DC10CD">
            <w:pPr>
              <w:jc w:val="both"/>
            </w:pPr>
            <w:r w:rsidRPr="0074017C">
              <w:t>-</w:t>
            </w:r>
          </w:p>
        </w:tc>
        <w:tc>
          <w:tcPr>
            <w:tcW w:w="774" w:type="pct"/>
          </w:tcPr>
          <w:p w:rsidR="003D2C14" w:rsidRPr="0074017C" w:rsidRDefault="006B2380" w:rsidP="00DC10CD">
            <w:pPr>
              <w:jc w:val="both"/>
            </w:pPr>
            <w:r w:rsidRPr="0074017C">
              <w:t>-</w:t>
            </w:r>
          </w:p>
        </w:tc>
      </w:tr>
      <w:tr w:rsidR="003D2C14" w:rsidRPr="0074017C" w:rsidTr="0074017C">
        <w:tc>
          <w:tcPr>
            <w:tcW w:w="1525" w:type="pct"/>
          </w:tcPr>
          <w:p w:rsidR="003D2C14" w:rsidRPr="0074017C" w:rsidRDefault="003D2C14" w:rsidP="00DC10CD">
            <w:pPr>
              <w:jc w:val="both"/>
            </w:pPr>
            <w:r w:rsidRPr="0074017C">
              <w:t>Dutasteride 0,5 mg caps; Avodart; GlaxoSmithKline</w:t>
            </w:r>
          </w:p>
        </w:tc>
        <w:tc>
          <w:tcPr>
            <w:tcW w:w="693" w:type="pct"/>
          </w:tcPr>
          <w:p w:rsidR="003D2C14" w:rsidRPr="0074017C" w:rsidRDefault="003D2C14" w:rsidP="00DC10CD">
            <w:pPr>
              <w:jc w:val="both"/>
            </w:pPr>
            <w:r w:rsidRPr="0074017C">
              <w:t>0,91</w:t>
            </w:r>
          </w:p>
        </w:tc>
        <w:tc>
          <w:tcPr>
            <w:tcW w:w="700" w:type="pct"/>
          </w:tcPr>
          <w:p w:rsidR="003D2C14" w:rsidRPr="0074017C" w:rsidRDefault="0093343D" w:rsidP="00DC10CD">
            <w:pPr>
              <w:jc w:val="both"/>
            </w:pPr>
            <w:r w:rsidRPr="0074017C">
              <w:t>0,72</w:t>
            </w:r>
          </w:p>
        </w:tc>
        <w:tc>
          <w:tcPr>
            <w:tcW w:w="654" w:type="pct"/>
          </w:tcPr>
          <w:p w:rsidR="003D2C14" w:rsidRPr="0074017C" w:rsidRDefault="003D2C14" w:rsidP="00DC10CD">
            <w:pPr>
              <w:jc w:val="both"/>
            </w:pPr>
            <w:r w:rsidRPr="0074017C">
              <w:t>0,72</w:t>
            </w:r>
          </w:p>
        </w:tc>
        <w:tc>
          <w:tcPr>
            <w:tcW w:w="654" w:type="pct"/>
            <w:shd w:val="clear" w:color="auto" w:fill="D9D9D9" w:themeFill="background1" w:themeFillShade="D9"/>
          </w:tcPr>
          <w:p w:rsidR="003D2C14" w:rsidRPr="0074017C" w:rsidRDefault="00BD4A1D" w:rsidP="00DC10CD">
            <w:pPr>
              <w:jc w:val="both"/>
            </w:pPr>
            <w:r w:rsidRPr="0074017C">
              <w:t>0,69</w:t>
            </w:r>
          </w:p>
        </w:tc>
        <w:tc>
          <w:tcPr>
            <w:tcW w:w="774" w:type="pct"/>
          </w:tcPr>
          <w:p w:rsidR="003D2C14" w:rsidRPr="0074017C" w:rsidRDefault="001D6FB1" w:rsidP="00DC10CD">
            <w:pPr>
              <w:jc w:val="both"/>
            </w:pPr>
            <w:r w:rsidRPr="0074017C">
              <w:t>0,73</w:t>
            </w:r>
          </w:p>
        </w:tc>
      </w:tr>
      <w:tr w:rsidR="003D2C14" w:rsidRPr="0074017C" w:rsidTr="0074017C">
        <w:tc>
          <w:tcPr>
            <w:tcW w:w="1525" w:type="pct"/>
          </w:tcPr>
          <w:p w:rsidR="003D2C14" w:rsidRPr="0074017C" w:rsidRDefault="003D2C14" w:rsidP="00DC10CD">
            <w:pPr>
              <w:jc w:val="both"/>
            </w:pPr>
            <w:r w:rsidRPr="0074017C">
              <w:t>Bicalutamide 50mg; tbl; Casodex; AstraZeneca</w:t>
            </w:r>
          </w:p>
        </w:tc>
        <w:tc>
          <w:tcPr>
            <w:tcW w:w="693" w:type="pct"/>
          </w:tcPr>
          <w:p w:rsidR="003D2C14" w:rsidRPr="0074017C" w:rsidRDefault="003D2C14" w:rsidP="00DC10CD">
            <w:pPr>
              <w:jc w:val="both"/>
            </w:pPr>
            <w:r w:rsidRPr="0074017C">
              <w:t>1,88</w:t>
            </w:r>
          </w:p>
        </w:tc>
        <w:tc>
          <w:tcPr>
            <w:tcW w:w="700" w:type="pct"/>
          </w:tcPr>
          <w:p w:rsidR="003D2C14" w:rsidRPr="0074017C" w:rsidRDefault="0093343D" w:rsidP="00DC10CD">
            <w:pPr>
              <w:jc w:val="both"/>
            </w:pPr>
            <w:r w:rsidRPr="0074017C">
              <w:t>1,49</w:t>
            </w:r>
          </w:p>
        </w:tc>
        <w:tc>
          <w:tcPr>
            <w:tcW w:w="654" w:type="pct"/>
          </w:tcPr>
          <w:p w:rsidR="003D2C14" w:rsidRPr="0074017C" w:rsidRDefault="003D2C14" w:rsidP="00DC10CD">
            <w:pPr>
              <w:jc w:val="both"/>
            </w:pPr>
            <w:r w:rsidRPr="0074017C">
              <w:t>1,79</w:t>
            </w:r>
          </w:p>
        </w:tc>
        <w:tc>
          <w:tcPr>
            <w:tcW w:w="654" w:type="pct"/>
            <w:shd w:val="clear" w:color="auto" w:fill="D9D9D9" w:themeFill="background1" w:themeFillShade="D9"/>
          </w:tcPr>
          <w:p w:rsidR="003D2C14" w:rsidRPr="0074017C" w:rsidRDefault="00B43FDD" w:rsidP="00DC10CD">
            <w:pPr>
              <w:jc w:val="both"/>
            </w:pPr>
            <w:r w:rsidRPr="0074017C">
              <w:t>0,89 (PhSwiss)</w:t>
            </w:r>
          </w:p>
        </w:tc>
        <w:tc>
          <w:tcPr>
            <w:tcW w:w="774" w:type="pct"/>
            <w:shd w:val="clear" w:color="auto" w:fill="D9D9D9" w:themeFill="background1" w:themeFillShade="D9"/>
          </w:tcPr>
          <w:p w:rsidR="003D2C14" w:rsidRPr="0074017C" w:rsidRDefault="001D6FB1" w:rsidP="00DC10CD">
            <w:pPr>
              <w:jc w:val="both"/>
            </w:pPr>
            <w:r w:rsidRPr="0074017C">
              <w:t>0,82</w:t>
            </w:r>
          </w:p>
        </w:tc>
      </w:tr>
      <w:tr w:rsidR="003D2C14" w:rsidRPr="0074017C" w:rsidTr="0074017C">
        <w:tc>
          <w:tcPr>
            <w:tcW w:w="1525" w:type="pct"/>
          </w:tcPr>
          <w:p w:rsidR="003D2C14" w:rsidRPr="0074017C" w:rsidRDefault="003D2C14" w:rsidP="00DC10CD">
            <w:pPr>
              <w:jc w:val="both"/>
            </w:pPr>
            <w:r w:rsidRPr="0074017C">
              <w:t>Fentanyl 50mcg/h; patch; Durogesic; Janssen-Cilag</w:t>
            </w:r>
          </w:p>
        </w:tc>
        <w:tc>
          <w:tcPr>
            <w:tcW w:w="693" w:type="pct"/>
          </w:tcPr>
          <w:p w:rsidR="003D2C14" w:rsidRPr="0074017C" w:rsidRDefault="003D2C14" w:rsidP="00DC10CD">
            <w:pPr>
              <w:jc w:val="both"/>
            </w:pPr>
            <w:r w:rsidRPr="0074017C">
              <w:t>7,16</w:t>
            </w:r>
          </w:p>
        </w:tc>
        <w:tc>
          <w:tcPr>
            <w:tcW w:w="700" w:type="pct"/>
          </w:tcPr>
          <w:p w:rsidR="003D2C14" w:rsidRPr="0074017C" w:rsidRDefault="0093343D" w:rsidP="00DC10CD">
            <w:pPr>
              <w:jc w:val="both"/>
            </w:pPr>
            <w:r w:rsidRPr="0074017C">
              <w:t>5,68</w:t>
            </w:r>
          </w:p>
        </w:tc>
        <w:tc>
          <w:tcPr>
            <w:tcW w:w="654" w:type="pct"/>
            <w:shd w:val="clear" w:color="auto" w:fill="D9D9D9" w:themeFill="background1" w:themeFillShade="D9"/>
          </w:tcPr>
          <w:p w:rsidR="003D2C14" w:rsidRPr="0074017C" w:rsidRDefault="003D2C14" w:rsidP="00DC10CD">
            <w:pPr>
              <w:jc w:val="both"/>
            </w:pPr>
            <w:r w:rsidRPr="0074017C">
              <w:t>4,02</w:t>
            </w:r>
          </w:p>
        </w:tc>
        <w:tc>
          <w:tcPr>
            <w:tcW w:w="654" w:type="pct"/>
          </w:tcPr>
          <w:p w:rsidR="003D2C14" w:rsidRPr="0074017C" w:rsidRDefault="00BE7F06" w:rsidP="00DC10CD">
            <w:pPr>
              <w:jc w:val="both"/>
            </w:pPr>
            <w:r w:rsidRPr="0074017C">
              <w:t>5,67</w:t>
            </w:r>
          </w:p>
        </w:tc>
        <w:tc>
          <w:tcPr>
            <w:tcW w:w="774" w:type="pct"/>
          </w:tcPr>
          <w:p w:rsidR="003D2C14" w:rsidRPr="0074017C" w:rsidRDefault="006B2380" w:rsidP="00DC10CD">
            <w:pPr>
              <w:jc w:val="both"/>
            </w:pPr>
            <w:r w:rsidRPr="0074017C">
              <w:t>-</w:t>
            </w:r>
          </w:p>
        </w:tc>
      </w:tr>
      <w:tr w:rsidR="003D2C14" w:rsidRPr="0074017C" w:rsidTr="0074017C">
        <w:tc>
          <w:tcPr>
            <w:tcW w:w="1525" w:type="pct"/>
          </w:tcPr>
          <w:p w:rsidR="003D2C14" w:rsidRPr="0074017C" w:rsidRDefault="003D2C14" w:rsidP="00DC10CD">
            <w:pPr>
              <w:jc w:val="both"/>
            </w:pPr>
            <w:r w:rsidRPr="0074017C">
              <w:t>Levatiracetam 500mg; tbl; Keppra; UCB</w:t>
            </w:r>
          </w:p>
        </w:tc>
        <w:tc>
          <w:tcPr>
            <w:tcW w:w="693" w:type="pct"/>
          </w:tcPr>
          <w:p w:rsidR="003D2C14" w:rsidRPr="0074017C" w:rsidRDefault="003D2C14" w:rsidP="00DC10CD">
            <w:pPr>
              <w:jc w:val="both"/>
            </w:pPr>
            <w:r w:rsidRPr="0074017C">
              <w:t>1,92</w:t>
            </w:r>
          </w:p>
        </w:tc>
        <w:tc>
          <w:tcPr>
            <w:tcW w:w="700" w:type="pct"/>
          </w:tcPr>
          <w:p w:rsidR="003D2C14" w:rsidRPr="0074017C" w:rsidRDefault="0093343D" w:rsidP="00DC10CD">
            <w:pPr>
              <w:jc w:val="both"/>
            </w:pPr>
            <w:r w:rsidRPr="0074017C">
              <w:t>1,52</w:t>
            </w:r>
          </w:p>
        </w:tc>
        <w:tc>
          <w:tcPr>
            <w:tcW w:w="654" w:type="pct"/>
          </w:tcPr>
          <w:p w:rsidR="003D2C14" w:rsidRPr="0074017C" w:rsidRDefault="003D2C14" w:rsidP="00DC10CD">
            <w:pPr>
              <w:jc w:val="both"/>
            </w:pPr>
            <w:r w:rsidRPr="0074017C">
              <w:t>0,83</w:t>
            </w:r>
          </w:p>
        </w:tc>
        <w:tc>
          <w:tcPr>
            <w:tcW w:w="654" w:type="pct"/>
          </w:tcPr>
          <w:p w:rsidR="003D2C14" w:rsidRPr="0074017C" w:rsidRDefault="00BE7F06" w:rsidP="00DC10CD">
            <w:pPr>
              <w:jc w:val="both"/>
            </w:pPr>
            <w:r w:rsidRPr="0074017C">
              <w:t>1,09</w:t>
            </w:r>
          </w:p>
        </w:tc>
        <w:tc>
          <w:tcPr>
            <w:tcW w:w="774" w:type="pct"/>
            <w:shd w:val="clear" w:color="auto" w:fill="D9D9D9" w:themeFill="background1" w:themeFillShade="D9"/>
          </w:tcPr>
          <w:p w:rsidR="003D2C14" w:rsidRPr="0074017C" w:rsidRDefault="001D6FB1" w:rsidP="00DC10CD">
            <w:pPr>
              <w:jc w:val="both"/>
            </w:pPr>
            <w:r w:rsidRPr="0074017C">
              <w:t>0,78</w:t>
            </w:r>
          </w:p>
        </w:tc>
      </w:tr>
      <w:tr w:rsidR="003D2C14" w:rsidRPr="0074017C" w:rsidTr="0074017C">
        <w:tc>
          <w:tcPr>
            <w:tcW w:w="1525" w:type="pct"/>
          </w:tcPr>
          <w:p w:rsidR="003D2C14" w:rsidRPr="0074017C" w:rsidRDefault="003D2C14" w:rsidP="00DC10CD">
            <w:pPr>
              <w:jc w:val="both"/>
            </w:pPr>
            <w:r w:rsidRPr="0074017C">
              <w:t>Risperidone 2mg; tbl; Rispolept; Janssen-Cilag</w:t>
            </w:r>
          </w:p>
        </w:tc>
        <w:tc>
          <w:tcPr>
            <w:tcW w:w="693" w:type="pct"/>
          </w:tcPr>
          <w:p w:rsidR="003D2C14" w:rsidRPr="0074017C" w:rsidRDefault="003D2C14" w:rsidP="00DC10CD">
            <w:pPr>
              <w:jc w:val="both"/>
            </w:pPr>
            <w:r w:rsidRPr="0074017C">
              <w:t>1,17</w:t>
            </w:r>
          </w:p>
        </w:tc>
        <w:tc>
          <w:tcPr>
            <w:tcW w:w="700" w:type="pct"/>
          </w:tcPr>
          <w:p w:rsidR="003D2C14" w:rsidRPr="0074017C" w:rsidRDefault="0093343D" w:rsidP="00DC10CD">
            <w:pPr>
              <w:jc w:val="both"/>
            </w:pPr>
            <w:r w:rsidRPr="0074017C">
              <w:t>0,93</w:t>
            </w:r>
          </w:p>
        </w:tc>
        <w:tc>
          <w:tcPr>
            <w:tcW w:w="654" w:type="pct"/>
          </w:tcPr>
          <w:p w:rsidR="003D2C14" w:rsidRPr="0074017C" w:rsidRDefault="003D2C14" w:rsidP="00DC10CD">
            <w:pPr>
              <w:jc w:val="both"/>
            </w:pPr>
            <w:r w:rsidRPr="0074017C">
              <w:t>0,67</w:t>
            </w:r>
          </w:p>
        </w:tc>
        <w:tc>
          <w:tcPr>
            <w:tcW w:w="654" w:type="pct"/>
            <w:shd w:val="clear" w:color="auto" w:fill="D9D9D9" w:themeFill="background1" w:themeFillShade="D9"/>
          </w:tcPr>
          <w:p w:rsidR="003D2C14" w:rsidRPr="0074017C" w:rsidRDefault="00BE7F06" w:rsidP="00DC10CD">
            <w:pPr>
              <w:jc w:val="both"/>
            </w:pPr>
            <w:r w:rsidRPr="0074017C">
              <w:t>0,37</w:t>
            </w:r>
          </w:p>
        </w:tc>
        <w:tc>
          <w:tcPr>
            <w:tcW w:w="774" w:type="pct"/>
          </w:tcPr>
          <w:p w:rsidR="003D2C14" w:rsidRPr="0074017C" w:rsidRDefault="008F3EAF" w:rsidP="00DC10CD">
            <w:pPr>
              <w:jc w:val="both"/>
            </w:pPr>
            <w:r w:rsidRPr="0074017C">
              <w:t>-</w:t>
            </w:r>
          </w:p>
        </w:tc>
      </w:tr>
      <w:tr w:rsidR="003D2C14" w:rsidRPr="0074017C" w:rsidTr="0074017C">
        <w:tc>
          <w:tcPr>
            <w:tcW w:w="1525" w:type="pct"/>
          </w:tcPr>
          <w:p w:rsidR="003D2C14" w:rsidRPr="0074017C" w:rsidRDefault="003D2C14" w:rsidP="00DC10CD">
            <w:pPr>
              <w:jc w:val="both"/>
            </w:pPr>
            <w:r w:rsidRPr="0074017C">
              <w:t>SalmeterolXinaofate + Fluticasone Propionate Micronised 50/250 mcg unit dose; SeretideDiskus; GlaxoSmithKline</w:t>
            </w:r>
          </w:p>
        </w:tc>
        <w:tc>
          <w:tcPr>
            <w:tcW w:w="693" w:type="pct"/>
          </w:tcPr>
          <w:p w:rsidR="003D2C14" w:rsidRPr="0074017C" w:rsidRDefault="003D2C14" w:rsidP="00DC10CD">
            <w:pPr>
              <w:jc w:val="both"/>
            </w:pPr>
            <w:r w:rsidRPr="0074017C">
              <w:t>56,97</w:t>
            </w:r>
          </w:p>
        </w:tc>
        <w:tc>
          <w:tcPr>
            <w:tcW w:w="700" w:type="pct"/>
          </w:tcPr>
          <w:p w:rsidR="003D2C14" w:rsidRPr="0074017C" w:rsidRDefault="0093343D" w:rsidP="00DC10CD">
            <w:pPr>
              <w:jc w:val="both"/>
            </w:pPr>
            <w:r w:rsidRPr="0074017C">
              <w:t>45,21</w:t>
            </w:r>
          </w:p>
        </w:tc>
        <w:tc>
          <w:tcPr>
            <w:tcW w:w="654" w:type="pct"/>
          </w:tcPr>
          <w:p w:rsidR="003D2C14" w:rsidRPr="0074017C" w:rsidRDefault="003D2C14" w:rsidP="00DC10CD">
            <w:pPr>
              <w:jc w:val="both"/>
            </w:pPr>
            <w:r w:rsidRPr="0074017C">
              <w:t>37,36</w:t>
            </w:r>
          </w:p>
        </w:tc>
        <w:tc>
          <w:tcPr>
            <w:tcW w:w="654" w:type="pct"/>
            <w:shd w:val="clear" w:color="auto" w:fill="D9D9D9" w:themeFill="background1" w:themeFillShade="D9"/>
          </w:tcPr>
          <w:p w:rsidR="003D2C14" w:rsidRPr="0074017C" w:rsidRDefault="00BE7F06" w:rsidP="00DC10CD">
            <w:pPr>
              <w:jc w:val="both"/>
            </w:pPr>
            <w:r w:rsidRPr="0074017C">
              <w:t>34,60</w:t>
            </w:r>
          </w:p>
        </w:tc>
        <w:tc>
          <w:tcPr>
            <w:tcW w:w="774" w:type="pct"/>
          </w:tcPr>
          <w:p w:rsidR="003D2C14" w:rsidRPr="0074017C" w:rsidRDefault="008F3EAF" w:rsidP="00DC10CD">
            <w:pPr>
              <w:jc w:val="both"/>
            </w:pPr>
            <w:r w:rsidRPr="0074017C">
              <w:t>38,19</w:t>
            </w:r>
          </w:p>
        </w:tc>
      </w:tr>
      <w:tr w:rsidR="0093343D" w:rsidRPr="0074017C" w:rsidTr="0074017C">
        <w:tc>
          <w:tcPr>
            <w:tcW w:w="1525" w:type="pct"/>
          </w:tcPr>
          <w:p w:rsidR="0093343D" w:rsidRPr="0074017C" w:rsidRDefault="0093343D" w:rsidP="00DC10CD">
            <w:pPr>
              <w:jc w:val="both"/>
            </w:pPr>
            <w:r w:rsidRPr="0074017C">
              <w:t>Budesonide + FormoterolFumarateDihydrateturbohaler 320/9 mcg/60 doza; SymbicortTurbohaler; AstraZeneca</w:t>
            </w:r>
          </w:p>
        </w:tc>
        <w:tc>
          <w:tcPr>
            <w:tcW w:w="693" w:type="pct"/>
          </w:tcPr>
          <w:p w:rsidR="0093343D" w:rsidRPr="0074017C" w:rsidRDefault="0093343D" w:rsidP="00DC10CD">
            <w:pPr>
              <w:jc w:val="both"/>
            </w:pPr>
            <w:r w:rsidRPr="0074017C">
              <w:t>55,20</w:t>
            </w:r>
          </w:p>
        </w:tc>
        <w:tc>
          <w:tcPr>
            <w:tcW w:w="700" w:type="pct"/>
          </w:tcPr>
          <w:p w:rsidR="0093343D" w:rsidRPr="0074017C" w:rsidRDefault="0093343D" w:rsidP="00DC10CD">
            <w:pPr>
              <w:jc w:val="both"/>
            </w:pPr>
            <w:r w:rsidRPr="0074017C">
              <w:t>43,80</w:t>
            </w:r>
          </w:p>
        </w:tc>
        <w:tc>
          <w:tcPr>
            <w:tcW w:w="654" w:type="pct"/>
          </w:tcPr>
          <w:p w:rsidR="0093343D" w:rsidRPr="0074017C" w:rsidRDefault="0093343D" w:rsidP="00DC10CD">
            <w:pPr>
              <w:jc w:val="both"/>
            </w:pPr>
            <w:r w:rsidRPr="0074017C">
              <w:t>49,16</w:t>
            </w:r>
          </w:p>
        </w:tc>
        <w:tc>
          <w:tcPr>
            <w:tcW w:w="654" w:type="pct"/>
            <w:shd w:val="clear" w:color="auto" w:fill="D9D9D9" w:themeFill="background1" w:themeFillShade="D9"/>
          </w:tcPr>
          <w:p w:rsidR="0093343D" w:rsidRPr="0074017C" w:rsidRDefault="00BE7F06" w:rsidP="00DC10CD">
            <w:pPr>
              <w:jc w:val="both"/>
            </w:pPr>
            <w:r w:rsidRPr="0074017C">
              <w:t>43,36</w:t>
            </w:r>
          </w:p>
        </w:tc>
        <w:tc>
          <w:tcPr>
            <w:tcW w:w="774" w:type="pct"/>
          </w:tcPr>
          <w:p w:rsidR="0093343D" w:rsidRPr="0074017C" w:rsidRDefault="008F3EAF" w:rsidP="00DC10CD">
            <w:pPr>
              <w:jc w:val="both"/>
            </w:pPr>
            <w:r w:rsidRPr="0074017C">
              <w:t>45,60</w:t>
            </w:r>
          </w:p>
        </w:tc>
      </w:tr>
      <w:tr w:rsidR="0093343D" w:rsidRPr="0074017C" w:rsidTr="0074017C">
        <w:tc>
          <w:tcPr>
            <w:tcW w:w="1525" w:type="pct"/>
          </w:tcPr>
          <w:p w:rsidR="0093343D" w:rsidRPr="0074017C" w:rsidRDefault="0099560F" w:rsidP="00DC10CD">
            <w:pPr>
              <w:jc w:val="both"/>
            </w:pPr>
            <w:r w:rsidRPr="0074017C">
              <w:t>Travoprost 40mcg/ml -2,5 ml; eye drops; Travatan; Alcon</w:t>
            </w:r>
          </w:p>
        </w:tc>
        <w:tc>
          <w:tcPr>
            <w:tcW w:w="693" w:type="pct"/>
          </w:tcPr>
          <w:p w:rsidR="0093343D" w:rsidRPr="0074017C" w:rsidRDefault="0099560F" w:rsidP="00DC10CD">
            <w:pPr>
              <w:jc w:val="both"/>
            </w:pPr>
            <w:r w:rsidRPr="0074017C">
              <w:t>29,35</w:t>
            </w:r>
          </w:p>
        </w:tc>
        <w:tc>
          <w:tcPr>
            <w:tcW w:w="700" w:type="pct"/>
          </w:tcPr>
          <w:p w:rsidR="0093343D" w:rsidRPr="0074017C" w:rsidRDefault="0099560F" w:rsidP="00DC10CD">
            <w:pPr>
              <w:jc w:val="both"/>
            </w:pPr>
            <w:r w:rsidRPr="0074017C">
              <w:t>23,29</w:t>
            </w:r>
          </w:p>
        </w:tc>
        <w:tc>
          <w:tcPr>
            <w:tcW w:w="654" w:type="pct"/>
          </w:tcPr>
          <w:p w:rsidR="0093343D" w:rsidRPr="0074017C" w:rsidRDefault="0099560F" w:rsidP="00DC10CD">
            <w:pPr>
              <w:jc w:val="both"/>
            </w:pPr>
            <w:r w:rsidRPr="0074017C">
              <w:t>17,50</w:t>
            </w:r>
          </w:p>
        </w:tc>
        <w:tc>
          <w:tcPr>
            <w:tcW w:w="654" w:type="pct"/>
            <w:shd w:val="clear" w:color="auto" w:fill="D9D9D9" w:themeFill="background1" w:themeFillShade="D9"/>
          </w:tcPr>
          <w:p w:rsidR="0093343D" w:rsidRPr="0074017C" w:rsidRDefault="00BE7F06" w:rsidP="00DC10CD">
            <w:pPr>
              <w:jc w:val="both"/>
            </w:pPr>
            <w:r w:rsidRPr="0074017C">
              <w:t>12,73</w:t>
            </w:r>
          </w:p>
        </w:tc>
        <w:tc>
          <w:tcPr>
            <w:tcW w:w="774" w:type="pct"/>
          </w:tcPr>
          <w:p w:rsidR="0093343D" w:rsidRPr="0074017C" w:rsidRDefault="008F3EAF" w:rsidP="00DC10CD">
            <w:pPr>
              <w:jc w:val="both"/>
            </w:pPr>
            <w:r w:rsidRPr="0074017C">
              <w:t>15,61</w:t>
            </w:r>
          </w:p>
        </w:tc>
      </w:tr>
      <w:tr w:rsidR="00875271" w:rsidRPr="0074017C" w:rsidTr="00D71CA6">
        <w:tc>
          <w:tcPr>
            <w:tcW w:w="1525" w:type="pct"/>
          </w:tcPr>
          <w:p w:rsidR="00875271" w:rsidRPr="0074017C" w:rsidRDefault="00875271" w:rsidP="00875271">
            <w:pPr>
              <w:jc w:val="both"/>
            </w:pPr>
            <w:r w:rsidRPr="0074017C">
              <w:t>Methoxi Polyethylene Glycol – epoetin beta 50mcg/0,3 ml; prefilled siringe; Mircera; Roche</w:t>
            </w:r>
          </w:p>
        </w:tc>
        <w:tc>
          <w:tcPr>
            <w:tcW w:w="693" w:type="pct"/>
          </w:tcPr>
          <w:p w:rsidR="00875271" w:rsidRPr="0074017C" w:rsidRDefault="00875271" w:rsidP="00875271">
            <w:pPr>
              <w:jc w:val="both"/>
            </w:pPr>
            <w:r w:rsidRPr="0074017C">
              <w:t>127,49</w:t>
            </w:r>
          </w:p>
        </w:tc>
        <w:tc>
          <w:tcPr>
            <w:tcW w:w="700" w:type="pct"/>
          </w:tcPr>
          <w:p w:rsidR="00875271" w:rsidRPr="0074017C" w:rsidRDefault="00875271" w:rsidP="00875271">
            <w:pPr>
              <w:jc w:val="both"/>
              <w:rPr>
                <w:color w:val="FF0000"/>
                <w:highlight w:val="yellow"/>
              </w:rPr>
            </w:pPr>
            <w:r w:rsidRPr="0074017C">
              <w:t>127,49</w:t>
            </w:r>
          </w:p>
        </w:tc>
        <w:tc>
          <w:tcPr>
            <w:tcW w:w="654" w:type="pct"/>
          </w:tcPr>
          <w:p w:rsidR="00875271" w:rsidRPr="0074017C" w:rsidRDefault="00875271" w:rsidP="00875271">
            <w:pPr>
              <w:jc w:val="both"/>
            </w:pPr>
            <w:r w:rsidRPr="0074017C">
              <w:t>113,67</w:t>
            </w:r>
          </w:p>
        </w:tc>
        <w:tc>
          <w:tcPr>
            <w:tcW w:w="654" w:type="pct"/>
            <w:shd w:val="clear" w:color="auto" w:fill="D9D9D9" w:themeFill="background1" w:themeFillShade="D9"/>
          </w:tcPr>
          <w:p w:rsidR="00875271" w:rsidRPr="0074017C" w:rsidRDefault="00875271" w:rsidP="00875271">
            <w:pPr>
              <w:jc w:val="both"/>
            </w:pPr>
            <w:r w:rsidRPr="0074017C">
              <w:t>98,68</w:t>
            </w:r>
          </w:p>
        </w:tc>
        <w:tc>
          <w:tcPr>
            <w:tcW w:w="774" w:type="pct"/>
          </w:tcPr>
          <w:p w:rsidR="00875271" w:rsidRPr="0074017C" w:rsidRDefault="00875271" w:rsidP="00875271">
            <w:pPr>
              <w:jc w:val="both"/>
            </w:pPr>
            <w:r w:rsidRPr="0074017C">
              <w:t>-</w:t>
            </w:r>
          </w:p>
        </w:tc>
      </w:tr>
      <w:tr w:rsidR="00875271" w:rsidRPr="0074017C" w:rsidTr="00D71CA6">
        <w:tc>
          <w:tcPr>
            <w:tcW w:w="2013" w:type="pct"/>
          </w:tcPr>
          <w:p w:rsidR="00875271" w:rsidRPr="0074017C" w:rsidRDefault="00875271" w:rsidP="00875271">
            <w:pPr>
              <w:jc w:val="both"/>
            </w:pPr>
            <w:r w:rsidRPr="0074017C">
              <w:lastRenderedPageBreak/>
              <w:t>Somatropine12mg 36 Nj.N; prefilled pen; Genotropin; Pfizer</w:t>
            </w:r>
          </w:p>
        </w:tc>
        <w:tc>
          <w:tcPr>
            <w:tcW w:w="529" w:type="pct"/>
          </w:tcPr>
          <w:p w:rsidR="00875271" w:rsidRPr="0074017C" w:rsidRDefault="00875271" w:rsidP="00875271">
            <w:pPr>
              <w:jc w:val="both"/>
            </w:pPr>
            <w:r w:rsidRPr="0074017C">
              <w:t>326,44</w:t>
            </w:r>
          </w:p>
        </w:tc>
        <w:tc>
          <w:tcPr>
            <w:tcW w:w="587" w:type="pct"/>
          </w:tcPr>
          <w:p w:rsidR="00875271" w:rsidRPr="0074017C" w:rsidRDefault="00875271" w:rsidP="00875271">
            <w:pPr>
              <w:jc w:val="both"/>
              <w:rPr>
                <w:color w:val="FF0000"/>
                <w:highlight w:val="yellow"/>
              </w:rPr>
            </w:pPr>
            <w:r w:rsidRPr="0074017C">
              <w:t>326,44</w:t>
            </w:r>
          </w:p>
        </w:tc>
        <w:tc>
          <w:tcPr>
            <w:tcW w:w="587" w:type="pct"/>
          </w:tcPr>
          <w:p w:rsidR="00875271" w:rsidRPr="0074017C" w:rsidRDefault="00875271" w:rsidP="00875271">
            <w:pPr>
              <w:jc w:val="both"/>
            </w:pPr>
            <w:r w:rsidRPr="0074017C">
              <w:t>241</w:t>
            </w:r>
          </w:p>
        </w:tc>
        <w:tc>
          <w:tcPr>
            <w:tcW w:w="587" w:type="pct"/>
            <w:shd w:val="clear" w:color="auto" w:fill="D9D9D9" w:themeFill="background1" w:themeFillShade="D9"/>
          </w:tcPr>
          <w:p w:rsidR="00875271" w:rsidRPr="0074017C" w:rsidRDefault="00875271" w:rsidP="00875271">
            <w:pPr>
              <w:jc w:val="both"/>
            </w:pPr>
            <w:r w:rsidRPr="0074017C">
              <w:t>238,30</w:t>
            </w:r>
          </w:p>
        </w:tc>
        <w:tc>
          <w:tcPr>
            <w:tcW w:w="696" w:type="pct"/>
          </w:tcPr>
          <w:p w:rsidR="00875271" w:rsidRPr="0074017C" w:rsidRDefault="00875271" w:rsidP="00875271">
            <w:pPr>
              <w:jc w:val="both"/>
            </w:pPr>
            <w:r w:rsidRPr="0074017C">
              <w:t>336</w:t>
            </w:r>
          </w:p>
        </w:tc>
      </w:tr>
      <w:tr w:rsidR="00875271" w:rsidRPr="0074017C" w:rsidTr="00D71CA6">
        <w:tc>
          <w:tcPr>
            <w:tcW w:w="2013" w:type="pct"/>
          </w:tcPr>
          <w:p w:rsidR="00875271" w:rsidRPr="0074017C" w:rsidRDefault="00875271" w:rsidP="00875271">
            <w:pPr>
              <w:jc w:val="both"/>
            </w:pPr>
            <w:r w:rsidRPr="0074017C">
              <w:t>Tenofovir 245mg; tbl; Viread; Gilead</w:t>
            </w:r>
          </w:p>
        </w:tc>
        <w:tc>
          <w:tcPr>
            <w:tcW w:w="529" w:type="pct"/>
          </w:tcPr>
          <w:p w:rsidR="00875271" w:rsidRPr="0074017C" w:rsidRDefault="00875271" w:rsidP="00875271">
            <w:pPr>
              <w:jc w:val="both"/>
            </w:pPr>
            <w:r w:rsidRPr="0074017C">
              <w:t>12,14</w:t>
            </w:r>
          </w:p>
        </w:tc>
        <w:tc>
          <w:tcPr>
            <w:tcW w:w="587" w:type="pct"/>
          </w:tcPr>
          <w:p w:rsidR="00875271" w:rsidRPr="0074017C" w:rsidRDefault="00875271" w:rsidP="00875271">
            <w:pPr>
              <w:jc w:val="both"/>
              <w:rPr>
                <w:color w:val="FF0000"/>
                <w:highlight w:val="yellow"/>
              </w:rPr>
            </w:pPr>
            <w:r w:rsidRPr="0074017C">
              <w:t>12,14</w:t>
            </w:r>
          </w:p>
        </w:tc>
        <w:tc>
          <w:tcPr>
            <w:tcW w:w="587" w:type="pct"/>
          </w:tcPr>
          <w:p w:rsidR="00875271" w:rsidRPr="0074017C" w:rsidRDefault="00875271" w:rsidP="00875271">
            <w:pPr>
              <w:jc w:val="both"/>
            </w:pPr>
            <w:r w:rsidRPr="0074017C">
              <w:t>12,17</w:t>
            </w:r>
          </w:p>
        </w:tc>
        <w:tc>
          <w:tcPr>
            <w:tcW w:w="587" w:type="pct"/>
          </w:tcPr>
          <w:p w:rsidR="00875271" w:rsidRPr="0074017C" w:rsidRDefault="00875271" w:rsidP="00875271">
            <w:pPr>
              <w:jc w:val="both"/>
            </w:pPr>
            <w:r w:rsidRPr="0074017C">
              <w:t>11,80</w:t>
            </w:r>
          </w:p>
        </w:tc>
        <w:tc>
          <w:tcPr>
            <w:tcW w:w="696" w:type="pct"/>
            <w:shd w:val="clear" w:color="auto" w:fill="D9D9D9" w:themeFill="background1" w:themeFillShade="D9"/>
          </w:tcPr>
          <w:p w:rsidR="00875271" w:rsidRPr="0074017C" w:rsidRDefault="00875271" w:rsidP="00875271">
            <w:pPr>
              <w:jc w:val="both"/>
            </w:pPr>
            <w:r w:rsidRPr="0074017C">
              <w:t>10,36</w:t>
            </w:r>
          </w:p>
        </w:tc>
      </w:tr>
      <w:tr w:rsidR="00875271" w:rsidRPr="0074017C" w:rsidTr="00D71CA6">
        <w:tc>
          <w:tcPr>
            <w:tcW w:w="2013" w:type="pct"/>
          </w:tcPr>
          <w:p w:rsidR="00875271" w:rsidRPr="0074017C" w:rsidRDefault="00875271" w:rsidP="00875271">
            <w:pPr>
              <w:jc w:val="both"/>
            </w:pPr>
            <w:r w:rsidRPr="0074017C">
              <w:t>Imatinib 100mg; caps; Glivec; Novartis</w:t>
            </w:r>
          </w:p>
        </w:tc>
        <w:tc>
          <w:tcPr>
            <w:tcW w:w="529" w:type="pct"/>
          </w:tcPr>
          <w:p w:rsidR="00875271" w:rsidRPr="0074017C" w:rsidRDefault="00875271" w:rsidP="00875271">
            <w:pPr>
              <w:jc w:val="both"/>
            </w:pPr>
            <w:r w:rsidRPr="0074017C">
              <w:t>25,31</w:t>
            </w:r>
          </w:p>
        </w:tc>
        <w:tc>
          <w:tcPr>
            <w:tcW w:w="587" w:type="pct"/>
          </w:tcPr>
          <w:p w:rsidR="00875271" w:rsidRPr="0074017C" w:rsidRDefault="00875271" w:rsidP="00875271">
            <w:pPr>
              <w:jc w:val="both"/>
              <w:rPr>
                <w:color w:val="FF0000"/>
                <w:highlight w:val="yellow"/>
              </w:rPr>
            </w:pPr>
            <w:r w:rsidRPr="0074017C">
              <w:t>25,31</w:t>
            </w:r>
          </w:p>
        </w:tc>
        <w:tc>
          <w:tcPr>
            <w:tcW w:w="587" w:type="pct"/>
          </w:tcPr>
          <w:p w:rsidR="00875271" w:rsidRPr="0074017C" w:rsidRDefault="00875271" w:rsidP="00875271">
            <w:pPr>
              <w:jc w:val="both"/>
            </w:pPr>
            <w:r w:rsidRPr="0074017C">
              <w:t>25,67</w:t>
            </w:r>
          </w:p>
        </w:tc>
        <w:tc>
          <w:tcPr>
            <w:tcW w:w="587" w:type="pct"/>
            <w:shd w:val="clear" w:color="auto" w:fill="D9D9D9" w:themeFill="background1" w:themeFillShade="D9"/>
          </w:tcPr>
          <w:p w:rsidR="00875271" w:rsidRPr="0074017C" w:rsidRDefault="00875271" w:rsidP="00875271">
            <w:pPr>
              <w:jc w:val="both"/>
            </w:pPr>
            <w:r w:rsidRPr="0074017C">
              <w:t>17,50</w:t>
            </w:r>
          </w:p>
        </w:tc>
        <w:tc>
          <w:tcPr>
            <w:tcW w:w="696" w:type="pct"/>
          </w:tcPr>
          <w:p w:rsidR="00875271" w:rsidRPr="0074017C" w:rsidRDefault="00875271" w:rsidP="00875271">
            <w:pPr>
              <w:jc w:val="both"/>
            </w:pPr>
            <w:r w:rsidRPr="0074017C">
              <w:t>23,47</w:t>
            </w:r>
          </w:p>
        </w:tc>
      </w:tr>
      <w:tr w:rsidR="00875271" w:rsidRPr="0074017C" w:rsidTr="00D71CA6">
        <w:tc>
          <w:tcPr>
            <w:tcW w:w="2013" w:type="pct"/>
          </w:tcPr>
          <w:p w:rsidR="00875271" w:rsidRPr="0074017C" w:rsidRDefault="00875271" w:rsidP="00875271">
            <w:pPr>
              <w:jc w:val="both"/>
            </w:pPr>
            <w:r w:rsidRPr="0074017C">
              <w:t>Peginterferonalfa- 2a 180mcg/0,5 ml; prefilled pen; Pegasys; Roche</w:t>
            </w:r>
          </w:p>
        </w:tc>
        <w:tc>
          <w:tcPr>
            <w:tcW w:w="529" w:type="pct"/>
          </w:tcPr>
          <w:p w:rsidR="00875271" w:rsidRPr="0074017C" w:rsidRDefault="00875271" w:rsidP="00875271">
            <w:pPr>
              <w:jc w:val="both"/>
            </w:pPr>
            <w:r w:rsidRPr="0074017C">
              <w:t>231,80</w:t>
            </w:r>
          </w:p>
        </w:tc>
        <w:tc>
          <w:tcPr>
            <w:tcW w:w="587" w:type="pct"/>
          </w:tcPr>
          <w:p w:rsidR="00875271" w:rsidRPr="0074017C" w:rsidRDefault="00875271" w:rsidP="00875271">
            <w:pPr>
              <w:jc w:val="both"/>
              <w:rPr>
                <w:color w:val="FF0000"/>
                <w:highlight w:val="yellow"/>
              </w:rPr>
            </w:pPr>
            <w:r w:rsidRPr="0074017C">
              <w:t>231,80</w:t>
            </w:r>
          </w:p>
        </w:tc>
        <w:tc>
          <w:tcPr>
            <w:tcW w:w="587" w:type="pct"/>
          </w:tcPr>
          <w:p w:rsidR="00875271" w:rsidRPr="0074017C" w:rsidRDefault="00875271" w:rsidP="00875271">
            <w:pPr>
              <w:jc w:val="both"/>
            </w:pPr>
            <w:r w:rsidRPr="0074017C">
              <w:t>227,33</w:t>
            </w:r>
          </w:p>
        </w:tc>
        <w:tc>
          <w:tcPr>
            <w:tcW w:w="587" w:type="pct"/>
            <w:shd w:val="clear" w:color="auto" w:fill="D9D9D9" w:themeFill="background1" w:themeFillShade="D9"/>
          </w:tcPr>
          <w:p w:rsidR="00875271" w:rsidRPr="0074017C" w:rsidRDefault="00875271" w:rsidP="00875271">
            <w:pPr>
              <w:jc w:val="both"/>
            </w:pPr>
            <w:r w:rsidRPr="0074017C">
              <w:t>195,30</w:t>
            </w:r>
          </w:p>
        </w:tc>
        <w:tc>
          <w:tcPr>
            <w:tcW w:w="696" w:type="pct"/>
          </w:tcPr>
          <w:p w:rsidR="00875271" w:rsidRPr="0074017C" w:rsidRDefault="00875271" w:rsidP="00875271">
            <w:pPr>
              <w:jc w:val="both"/>
            </w:pPr>
            <w:r w:rsidRPr="0074017C">
              <w:t>244,19</w:t>
            </w:r>
          </w:p>
        </w:tc>
      </w:tr>
      <w:tr w:rsidR="00875271" w:rsidRPr="0074017C" w:rsidTr="00D71CA6">
        <w:tc>
          <w:tcPr>
            <w:tcW w:w="2013" w:type="pct"/>
          </w:tcPr>
          <w:p w:rsidR="00875271" w:rsidRPr="0074017C" w:rsidRDefault="00875271" w:rsidP="00875271">
            <w:pPr>
              <w:jc w:val="both"/>
            </w:pPr>
            <w:r w:rsidRPr="0074017C">
              <w:t>Risperidone 50mg; inj; Risperdal Consta, Janssen Cilag</w:t>
            </w:r>
          </w:p>
        </w:tc>
        <w:tc>
          <w:tcPr>
            <w:tcW w:w="529" w:type="pct"/>
          </w:tcPr>
          <w:p w:rsidR="00875271" w:rsidRPr="0074017C" w:rsidRDefault="00875271" w:rsidP="00875271">
            <w:pPr>
              <w:jc w:val="both"/>
            </w:pPr>
            <w:r w:rsidRPr="0074017C">
              <w:t>196,23</w:t>
            </w:r>
          </w:p>
        </w:tc>
        <w:tc>
          <w:tcPr>
            <w:tcW w:w="587" w:type="pct"/>
            <w:shd w:val="clear" w:color="auto" w:fill="D9D9D9" w:themeFill="background1" w:themeFillShade="D9"/>
          </w:tcPr>
          <w:p w:rsidR="00875271" w:rsidRPr="0074017C" w:rsidRDefault="00875271" w:rsidP="00875271">
            <w:pPr>
              <w:jc w:val="both"/>
              <w:rPr>
                <w:color w:val="FF0000"/>
                <w:highlight w:val="yellow"/>
              </w:rPr>
            </w:pPr>
            <w:r w:rsidRPr="0074017C">
              <w:t>196,23</w:t>
            </w:r>
          </w:p>
        </w:tc>
        <w:tc>
          <w:tcPr>
            <w:tcW w:w="587" w:type="pct"/>
          </w:tcPr>
          <w:p w:rsidR="00875271" w:rsidRPr="0074017C" w:rsidRDefault="00875271" w:rsidP="00875271">
            <w:pPr>
              <w:jc w:val="both"/>
            </w:pPr>
            <w:r w:rsidRPr="0074017C">
              <w:t>213,72</w:t>
            </w:r>
          </w:p>
        </w:tc>
        <w:tc>
          <w:tcPr>
            <w:tcW w:w="587" w:type="pct"/>
          </w:tcPr>
          <w:p w:rsidR="00875271" w:rsidRPr="0074017C" w:rsidRDefault="00875271" w:rsidP="00875271">
            <w:pPr>
              <w:jc w:val="both"/>
            </w:pPr>
            <w:r w:rsidRPr="0074017C">
              <w:t>207,17</w:t>
            </w:r>
          </w:p>
        </w:tc>
        <w:tc>
          <w:tcPr>
            <w:tcW w:w="696" w:type="pct"/>
          </w:tcPr>
          <w:p w:rsidR="00875271" w:rsidRPr="0074017C" w:rsidRDefault="00875271" w:rsidP="00875271">
            <w:pPr>
              <w:jc w:val="both"/>
            </w:pPr>
            <w:r w:rsidRPr="0074017C">
              <w:t>199,53</w:t>
            </w:r>
          </w:p>
        </w:tc>
      </w:tr>
      <w:tr w:rsidR="00875271" w:rsidRPr="0074017C" w:rsidTr="00D71CA6">
        <w:tc>
          <w:tcPr>
            <w:tcW w:w="2013" w:type="pct"/>
          </w:tcPr>
          <w:p w:rsidR="00875271" w:rsidRPr="0074017C" w:rsidRDefault="00875271" w:rsidP="00875271">
            <w:pPr>
              <w:jc w:val="both"/>
            </w:pPr>
            <w:r w:rsidRPr="0074017C">
              <w:t>Fingolimod 0,5mg; Gilenya; Novartis</w:t>
            </w:r>
          </w:p>
        </w:tc>
        <w:tc>
          <w:tcPr>
            <w:tcW w:w="529" w:type="pct"/>
          </w:tcPr>
          <w:p w:rsidR="00875271" w:rsidRPr="0074017C" w:rsidRDefault="00875271" w:rsidP="00875271">
            <w:pPr>
              <w:jc w:val="both"/>
            </w:pPr>
            <w:r w:rsidRPr="0074017C">
              <w:t>82,06</w:t>
            </w:r>
          </w:p>
        </w:tc>
        <w:tc>
          <w:tcPr>
            <w:tcW w:w="587" w:type="pct"/>
            <w:shd w:val="clear" w:color="auto" w:fill="D9D9D9" w:themeFill="background1" w:themeFillShade="D9"/>
          </w:tcPr>
          <w:p w:rsidR="00875271" w:rsidRPr="0074017C" w:rsidRDefault="00875271" w:rsidP="00875271">
            <w:pPr>
              <w:jc w:val="both"/>
              <w:rPr>
                <w:color w:val="FF0000"/>
                <w:highlight w:val="yellow"/>
              </w:rPr>
            </w:pPr>
            <w:r w:rsidRPr="0074017C">
              <w:t>82,06</w:t>
            </w:r>
          </w:p>
        </w:tc>
        <w:tc>
          <w:tcPr>
            <w:tcW w:w="587" w:type="pct"/>
          </w:tcPr>
          <w:p w:rsidR="00875271" w:rsidRPr="0074017C" w:rsidRDefault="00875271" w:rsidP="00875271">
            <w:pPr>
              <w:jc w:val="both"/>
            </w:pPr>
            <w:r w:rsidRPr="0074017C">
              <w:t>87,90</w:t>
            </w:r>
          </w:p>
        </w:tc>
        <w:tc>
          <w:tcPr>
            <w:tcW w:w="587" w:type="pct"/>
          </w:tcPr>
          <w:p w:rsidR="00875271" w:rsidRPr="0074017C" w:rsidRDefault="00875271" w:rsidP="00875271">
            <w:pPr>
              <w:jc w:val="both"/>
            </w:pPr>
            <w:r w:rsidRPr="0074017C">
              <w:t>-</w:t>
            </w:r>
          </w:p>
        </w:tc>
        <w:tc>
          <w:tcPr>
            <w:tcW w:w="696" w:type="pct"/>
          </w:tcPr>
          <w:p w:rsidR="00875271" w:rsidRPr="0074017C" w:rsidRDefault="00875271" w:rsidP="00875271">
            <w:pPr>
              <w:jc w:val="both"/>
            </w:pPr>
            <w:r w:rsidRPr="0074017C">
              <w:t>-</w:t>
            </w:r>
          </w:p>
        </w:tc>
      </w:tr>
    </w:tbl>
    <w:p w:rsidR="00A95616" w:rsidRPr="0074017C" w:rsidRDefault="00A95616" w:rsidP="00DC10CD">
      <w:pPr>
        <w:pStyle w:val="Heading2"/>
        <w:spacing w:before="0" w:line="240" w:lineRule="auto"/>
      </w:pPr>
    </w:p>
    <w:p w:rsidR="00A95616" w:rsidRPr="0074017C" w:rsidRDefault="00A95616" w:rsidP="00DC10CD">
      <w:pPr>
        <w:pStyle w:val="Heading2"/>
        <w:spacing w:before="0" w:line="240" w:lineRule="auto"/>
      </w:pPr>
    </w:p>
    <w:p w:rsidR="001C5BB8" w:rsidRPr="0074017C" w:rsidRDefault="001C5BB8" w:rsidP="00DC10CD">
      <w:pPr>
        <w:pStyle w:val="Heading2"/>
        <w:spacing w:before="0" w:line="240" w:lineRule="auto"/>
      </w:pPr>
      <w:bookmarkStart w:id="16" w:name="_Toc391556314"/>
      <w:r w:rsidRPr="0074017C">
        <w:t>Inpatient medicines</w:t>
      </w:r>
      <w:bookmarkEnd w:id="16"/>
    </w:p>
    <w:p w:rsidR="001C5BB8" w:rsidRPr="0074017C" w:rsidRDefault="001C5BB8" w:rsidP="00DC10CD">
      <w:pPr>
        <w:spacing w:after="0" w:line="240" w:lineRule="auto"/>
        <w:jc w:val="both"/>
        <w:rPr>
          <w:b/>
        </w:rPr>
      </w:pPr>
    </w:p>
    <w:p w:rsidR="004D1044" w:rsidRPr="0074017C" w:rsidRDefault="004D1044" w:rsidP="00DC10CD">
      <w:pPr>
        <w:spacing w:after="0" w:line="240" w:lineRule="auto"/>
        <w:jc w:val="both"/>
      </w:pPr>
    </w:p>
    <w:p w:rsidR="00670B21" w:rsidRPr="0074017C" w:rsidRDefault="00670B21" w:rsidP="00DC10CD">
      <w:pPr>
        <w:pStyle w:val="Heading3"/>
        <w:spacing w:before="0" w:line="240" w:lineRule="auto"/>
      </w:pPr>
      <w:bookmarkStart w:id="17" w:name="_Toc391556315"/>
      <w:r w:rsidRPr="0074017C">
        <w:t>List of reimbursed medicines – data and prices</w:t>
      </w:r>
      <w:bookmarkEnd w:id="17"/>
    </w:p>
    <w:p w:rsidR="004D1044" w:rsidRPr="0074017C" w:rsidRDefault="004D1044" w:rsidP="00DC10CD">
      <w:pPr>
        <w:spacing w:after="0" w:line="240" w:lineRule="auto"/>
        <w:jc w:val="both"/>
      </w:pPr>
    </w:p>
    <w:p w:rsidR="00670B21" w:rsidRPr="0074017C" w:rsidRDefault="00670B21" w:rsidP="00DC10CD">
      <w:pPr>
        <w:spacing w:after="0" w:line="240" w:lineRule="auto"/>
        <w:jc w:val="both"/>
      </w:pPr>
      <w:r w:rsidRPr="0074017C">
        <w:t xml:space="preserve">The </w:t>
      </w:r>
      <w:r w:rsidR="005E3CD1" w:rsidRPr="0074017C">
        <w:t>hospital</w:t>
      </w:r>
      <w:r w:rsidRPr="0074017C">
        <w:t xml:space="preserve"> list of medicines contains the following data for each entry: INN and strength of unite dose, pharmaceutical form, </w:t>
      </w:r>
      <w:r w:rsidR="005E3CD1" w:rsidRPr="0074017C">
        <w:t>unit price, quantity of procured unit doses and total budget hypothecated for the particular medicine</w:t>
      </w:r>
      <w:r w:rsidRPr="0074017C">
        <w:t xml:space="preserve">. </w:t>
      </w:r>
    </w:p>
    <w:p w:rsidR="005E3CD1" w:rsidRPr="0074017C" w:rsidRDefault="005E3CD1" w:rsidP="00DC10CD">
      <w:pPr>
        <w:spacing w:after="0" w:line="240" w:lineRule="auto"/>
        <w:jc w:val="both"/>
      </w:pPr>
    </w:p>
    <w:p w:rsidR="00670B21" w:rsidRPr="0074017C" w:rsidRDefault="005E3CD1" w:rsidP="00DC10CD">
      <w:pPr>
        <w:spacing w:after="0" w:line="240" w:lineRule="auto"/>
        <w:jc w:val="both"/>
      </w:pPr>
      <w:r w:rsidRPr="0074017C">
        <w:t xml:space="preserve">As the MoH tenders unit doses, and not packs, it benefits from companies being able to tender larger (proportionally cheaper) packs. </w:t>
      </w:r>
    </w:p>
    <w:p w:rsidR="005E3CD1" w:rsidRPr="0074017C" w:rsidRDefault="005E3CD1" w:rsidP="00DC10CD">
      <w:pPr>
        <w:spacing w:after="0" w:line="240" w:lineRule="auto"/>
        <w:jc w:val="both"/>
      </w:pPr>
    </w:p>
    <w:p w:rsidR="004D1044" w:rsidRPr="0074017C" w:rsidRDefault="00875271" w:rsidP="00DC10CD">
      <w:pPr>
        <w:spacing w:after="0" w:line="240" w:lineRule="auto"/>
        <w:jc w:val="both"/>
      </w:pPr>
      <w:r w:rsidRPr="0074017C">
        <w:t>Table 1</w:t>
      </w:r>
      <w:r w:rsidR="00D076D5" w:rsidRPr="0074017C">
        <w:t>9</w:t>
      </w:r>
      <w:r w:rsidR="004D1044" w:rsidRPr="0074017C">
        <w:t xml:space="preserve"> lists 15 of the most expensive medicines in total expenditure in the hospital list of medicines, including prices and quantities procured</w:t>
      </w:r>
      <w:r w:rsidR="00930099" w:rsidRPr="0074017C">
        <w:t xml:space="preserve"> in 2012</w:t>
      </w:r>
      <w:r w:rsidR="004D1044" w:rsidRPr="0074017C">
        <w:t xml:space="preserve">. </w:t>
      </w:r>
    </w:p>
    <w:p w:rsidR="00731DF1" w:rsidRPr="0074017C" w:rsidRDefault="00731DF1" w:rsidP="00DC10CD">
      <w:pPr>
        <w:spacing w:after="0" w:line="240" w:lineRule="auto"/>
        <w:jc w:val="both"/>
      </w:pPr>
    </w:p>
    <w:p w:rsidR="00731DF1" w:rsidRPr="0074017C" w:rsidRDefault="00731DF1" w:rsidP="00DC10CD">
      <w:pPr>
        <w:spacing w:after="0" w:line="240" w:lineRule="auto"/>
        <w:jc w:val="both"/>
      </w:pPr>
      <w:r w:rsidRPr="0074017C">
        <w:t xml:space="preserve">Table </w:t>
      </w:r>
      <w:r w:rsidR="00875271" w:rsidRPr="0074017C">
        <w:t>1</w:t>
      </w:r>
      <w:r w:rsidR="00D076D5" w:rsidRPr="0074017C">
        <w:t>9</w:t>
      </w:r>
      <w:r w:rsidR="00F5237D" w:rsidRPr="0074017C">
        <w:t xml:space="preserve"> – 15 highest spending expensive hospital medicines in 2012</w:t>
      </w:r>
    </w:p>
    <w:tbl>
      <w:tblPr>
        <w:tblStyle w:val="TableGrid"/>
        <w:tblW w:w="5000" w:type="pct"/>
        <w:tblLook w:val="04A0"/>
      </w:tblPr>
      <w:tblGrid>
        <w:gridCol w:w="2532"/>
        <w:gridCol w:w="2532"/>
        <w:gridCol w:w="1457"/>
        <w:gridCol w:w="1701"/>
        <w:gridCol w:w="1354"/>
      </w:tblGrid>
      <w:tr w:rsidR="004D1044" w:rsidRPr="0074017C" w:rsidTr="004D1044">
        <w:tc>
          <w:tcPr>
            <w:tcW w:w="1322" w:type="pct"/>
            <w:hideMark/>
          </w:tcPr>
          <w:p w:rsidR="004D1044" w:rsidRPr="0074017C" w:rsidRDefault="004D1044" w:rsidP="00DC10CD">
            <w:pPr>
              <w:jc w:val="both"/>
              <w:rPr>
                <w:b/>
                <w:bCs/>
              </w:rPr>
            </w:pPr>
            <w:r w:rsidRPr="0074017C">
              <w:rPr>
                <w:b/>
                <w:bCs/>
              </w:rPr>
              <w:t>INN</w:t>
            </w:r>
          </w:p>
        </w:tc>
        <w:tc>
          <w:tcPr>
            <w:tcW w:w="1322" w:type="pct"/>
            <w:hideMark/>
          </w:tcPr>
          <w:p w:rsidR="004D1044" w:rsidRPr="0074017C" w:rsidRDefault="004D1044" w:rsidP="00DC10CD">
            <w:pPr>
              <w:jc w:val="both"/>
              <w:rPr>
                <w:b/>
                <w:bCs/>
              </w:rPr>
            </w:pPr>
            <w:r w:rsidRPr="0074017C">
              <w:rPr>
                <w:b/>
                <w:bCs/>
              </w:rPr>
              <w:t>Dose</w:t>
            </w:r>
          </w:p>
        </w:tc>
        <w:tc>
          <w:tcPr>
            <w:tcW w:w="761" w:type="pct"/>
            <w:hideMark/>
          </w:tcPr>
          <w:p w:rsidR="004D1044" w:rsidRPr="0074017C" w:rsidRDefault="004D1044" w:rsidP="00DC10CD">
            <w:pPr>
              <w:jc w:val="both"/>
              <w:rPr>
                <w:b/>
                <w:bCs/>
              </w:rPr>
            </w:pPr>
            <w:r w:rsidRPr="0074017C">
              <w:rPr>
                <w:b/>
                <w:bCs/>
              </w:rPr>
              <w:t xml:space="preserve"> Price limit </w:t>
            </w:r>
          </w:p>
        </w:tc>
        <w:tc>
          <w:tcPr>
            <w:tcW w:w="888" w:type="pct"/>
            <w:hideMark/>
          </w:tcPr>
          <w:p w:rsidR="004D1044" w:rsidRPr="0074017C" w:rsidRDefault="004D1044" w:rsidP="005C01DB">
            <w:pPr>
              <w:jc w:val="both"/>
              <w:rPr>
                <w:b/>
                <w:bCs/>
              </w:rPr>
            </w:pPr>
            <w:r w:rsidRPr="0074017C">
              <w:rPr>
                <w:b/>
                <w:bCs/>
              </w:rPr>
              <w:t xml:space="preserve">Budget in </w:t>
            </w:r>
            <w:r w:rsidR="005C01DB" w:rsidRPr="0074017C">
              <w:rPr>
                <w:b/>
                <w:bCs/>
              </w:rPr>
              <w:t>LEK</w:t>
            </w:r>
          </w:p>
        </w:tc>
        <w:tc>
          <w:tcPr>
            <w:tcW w:w="707" w:type="pct"/>
            <w:hideMark/>
          </w:tcPr>
          <w:p w:rsidR="004D1044" w:rsidRPr="0074017C" w:rsidRDefault="004D1044" w:rsidP="00DC10CD">
            <w:pPr>
              <w:jc w:val="both"/>
              <w:rPr>
                <w:b/>
                <w:bCs/>
              </w:rPr>
            </w:pPr>
            <w:r w:rsidRPr="0074017C">
              <w:rPr>
                <w:b/>
                <w:bCs/>
              </w:rPr>
              <w:t>Quantities 2014</w:t>
            </w:r>
          </w:p>
        </w:tc>
      </w:tr>
      <w:tr w:rsidR="004D1044" w:rsidRPr="0074017C" w:rsidTr="004D1044">
        <w:trPr>
          <w:trHeight w:val="225"/>
        </w:trPr>
        <w:tc>
          <w:tcPr>
            <w:tcW w:w="1322" w:type="pct"/>
            <w:hideMark/>
          </w:tcPr>
          <w:p w:rsidR="004D1044" w:rsidRPr="0074017C" w:rsidRDefault="004D1044" w:rsidP="00DC10CD">
            <w:pPr>
              <w:jc w:val="both"/>
            </w:pPr>
            <w:r w:rsidRPr="0074017C">
              <w:t>Trastuzumab</w:t>
            </w:r>
          </w:p>
        </w:tc>
        <w:tc>
          <w:tcPr>
            <w:tcW w:w="1322" w:type="pct"/>
            <w:hideMark/>
          </w:tcPr>
          <w:p w:rsidR="004D1044" w:rsidRPr="0074017C" w:rsidRDefault="004D1044" w:rsidP="00DC10CD">
            <w:pPr>
              <w:jc w:val="both"/>
            </w:pPr>
            <w:r w:rsidRPr="0074017C">
              <w:t>150 mg</w:t>
            </w:r>
          </w:p>
        </w:tc>
        <w:tc>
          <w:tcPr>
            <w:tcW w:w="761" w:type="pct"/>
            <w:hideMark/>
          </w:tcPr>
          <w:p w:rsidR="004D1044" w:rsidRPr="0074017C" w:rsidRDefault="004D1044" w:rsidP="00DC10CD">
            <w:pPr>
              <w:jc w:val="both"/>
            </w:pPr>
            <w:r w:rsidRPr="0074017C">
              <w:t xml:space="preserve">           77,352 </w:t>
            </w:r>
          </w:p>
        </w:tc>
        <w:tc>
          <w:tcPr>
            <w:tcW w:w="888" w:type="pct"/>
            <w:hideMark/>
          </w:tcPr>
          <w:p w:rsidR="004D1044" w:rsidRPr="0074017C" w:rsidRDefault="004D1044" w:rsidP="00DC10CD">
            <w:pPr>
              <w:jc w:val="both"/>
            </w:pPr>
            <w:r w:rsidRPr="0074017C">
              <w:t xml:space="preserve">      145,498,265 </w:t>
            </w:r>
          </w:p>
        </w:tc>
        <w:tc>
          <w:tcPr>
            <w:tcW w:w="707" w:type="pct"/>
            <w:hideMark/>
          </w:tcPr>
          <w:p w:rsidR="004D1044" w:rsidRPr="0074017C" w:rsidRDefault="004D1044" w:rsidP="00DC10CD">
            <w:pPr>
              <w:jc w:val="both"/>
            </w:pPr>
            <w:r w:rsidRPr="0074017C">
              <w:t xml:space="preserve">           1,881 </w:t>
            </w:r>
          </w:p>
        </w:tc>
      </w:tr>
      <w:tr w:rsidR="004D1044" w:rsidRPr="0074017C" w:rsidTr="004D1044">
        <w:trPr>
          <w:trHeight w:val="225"/>
        </w:trPr>
        <w:tc>
          <w:tcPr>
            <w:tcW w:w="1322" w:type="pct"/>
            <w:hideMark/>
          </w:tcPr>
          <w:p w:rsidR="004D1044" w:rsidRPr="0074017C" w:rsidRDefault="004D1044" w:rsidP="00DC10CD">
            <w:pPr>
              <w:jc w:val="both"/>
            </w:pPr>
            <w:r w:rsidRPr="0074017C">
              <w:t>Sodium Chloride</w:t>
            </w:r>
          </w:p>
        </w:tc>
        <w:tc>
          <w:tcPr>
            <w:tcW w:w="1322" w:type="pct"/>
            <w:hideMark/>
          </w:tcPr>
          <w:p w:rsidR="004D1044" w:rsidRPr="0074017C" w:rsidRDefault="004D1044" w:rsidP="00DC10CD">
            <w:pPr>
              <w:jc w:val="both"/>
            </w:pPr>
            <w:r w:rsidRPr="0074017C">
              <w:t>0.9% - 500 ml</w:t>
            </w:r>
          </w:p>
        </w:tc>
        <w:tc>
          <w:tcPr>
            <w:tcW w:w="761" w:type="pct"/>
            <w:hideMark/>
          </w:tcPr>
          <w:p w:rsidR="004D1044" w:rsidRPr="0074017C" w:rsidRDefault="004D1044" w:rsidP="00DC10CD">
            <w:pPr>
              <w:jc w:val="both"/>
            </w:pPr>
            <w:r w:rsidRPr="0074017C">
              <w:t xml:space="preserve">                  80 </w:t>
            </w:r>
          </w:p>
        </w:tc>
        <w:tc>
          <w:tcPr>
            <w:tcW w:w="888" w:type="pct"/>
            <w:hideMark/>
          </w:tcPr>
          <w:p w:rsidR="004D1044" w:rsidRPr="0074017C" w:rsidRDefault="004D1044" w:rsidP="00DC10CD">
            <w:pPr>
              <w:jc w:val="both"/>
            </w:pPr>
            <w:r w:rsidRPr="0074017C">
              <w:t xml:space="preserve">        74,961,166 </w:t>
            </w:r>
          </w:p>
        </w:tc>
        <w:tc>
          <w:tcPr>
            <w:tcW w:w="707" w:type="pct"/>
            <w:hideMark/>
          </w:tcPr>
          <w:p w:rsidR="004D1044" w:rsidRPr="0074017C" w:rsidRDefault="004D1044" w:rsidP="00DC10CD">
            <w:pPr>
              <w:jc w:val="both"/>
            </w:pPr>
            <w:r w:rsidRPr="0074017C">
              <w:t xml:space="preserve">       941,927 </w:t>
            </w:r>
          </w:p>
        </w:tc>
      </w:tr>
      <w:tr w:rsidR="004D1044" w:rsidRPr="0074017C" w:rsidTr="004D1044">
        <w:trPr>
          <w:trHeight w:val="225"/>
        </w:trPr>
        <w:tc>
          <w:tcPr>
            <w:tcW w:w="1322" w:type="pct"/>
            <w:hideMark/>
          </w:tcPr>
          <w:p w:rsidR="004D1044" w:rsidRPr="0074017C" w:rsidRDefault="004D1044" w:rsidP="00DC10CD">
            <w:pPr>
              <w:jc w:val="both"/>
            </w:pPr>
            <w:r w:rsidRPr="0074017C">
              <w:t>Sevofluran</w:t>
            </w:r>
          </w:p>
        </w:tc>
        <w:tc>
          <w:tcPr>
            <w:tcW w:w="1322" w:type="pct"/>
            <w:hideMark/>
          </w:tcPr>
          <w:p w:rsidR="004D1044" w:rsidRPr="0074017C" w:rsidRDefault="004D1044" w:rsidP="00DC10CD">
            <w:pPr>
              <w:jc w:val="both"/>
            </w:pPr>
            <w:r w:rsidRPr="0074017C">
              <w:t>250 ml</w:t>
            </w:r>
          </w:p>
        </w:tc>
        <w:tc>
          <w:tcPr>
            <w:tcW w:w="761" w:type="pct"/>
            <w:hideMark/>
          </w:tcPr>
          <w:p w:rsidR="004D1044" w:rsidRPr="0074017C" w:rsidRDefault="004D1044" w:rsidP="00DC10CD">
            <w:pPr>
              <w:jc w:val="both"/>
            </w:pPr>
            <w:r w:rsidRPr="0074017C">
              <w:t xml:space="preserve">           24,250 </w:t>
            </w:r>
          </w:p>
        </w:tc>
        <w:tc>
          <w:tcPr>
            <w:tcW w:w="888" w:type="pct"/>
            <w:hideMark/>
          </w:tcPr>
          <w:p w:rsidR="004D1044" w:rsidRPr="0074017C" w:rsidRDefault="004D1044" w:rsidP="00DC10CD">
            <w:pPr>
              <w:jc w:val="both"/>
            </w:pPr>
            <w:r w:rsidRPr="0074017C">
              <w:t xml:space="preserve">        63,606,550 </w:t>
            </w:r>
          </w:p>
        </w:tc>
        <w:tc>
          <w:tcPr>
            <w:tcW w:w="707" w:type="pct"/>
            <w:hideMark/>
          </w:tcPr>
          <w:p w:rsidR="004D1044" w:rsidRPr="0074017C" w:rsidRDefault="004D1044" w:rsidP="00DC10CD">
            <w:pPr>
              <w:jc w:val="both"/>
            </w:pPr>
            <w:r w:rsidRPr="0074017C">
              <w:t xml:space="preserve">           2,623 </w:t>
            </w:r>
          </w:p>
        </w:tc>
      </w:tr>
      <w:tr w:rsidR="004D1044" w:rsidRPr="0074017C" w:rsidTr="004D1044">
        <w:trPr>
          <w:trHeight w:val="225"/>
        </w:trPr>
        <w:tc>
          <w:tcPr>
            <w:tcW w:w="1322" w:type="pct"/>
            <w:hideMark/>
          </w:tcPr>
          <w:p w:rsidR="004D1044" w:rsidRPr="0074017C" w:rsidRDefault="004D1044" w:rsidP="00DC10CD">
            <w:pPr>
              <w:jc w:val="both"/>
            </w:pPr>
            <w:r w:rsidRPr="0074017C">
              <w:t xml:space="preserve">Rituximab </w:t>
            </w:r>
          </w:p>
        </w:tc>
        <w:tc>
          <w:tcPr>
            <w:tcW w:w="1322" w:type="pct"/>
            <w:hideMark/>
          </w:tcPr>
          <w:p w:rsidR="004D1044" w:rsidRPr="0074017C" w:rsidRDefault="004D1044" w:rsidP="00DC10CD">
            <w:pPr>
              <w:jc w:val="both"/>
            </w:pPr>
            <w:r w:rsidRPr="0074017C">
              <w:t>500 mg/50ml</w:t>
            </w:r>
          </w:p>
        </w:tc>
        <w:tc>
          <w:tcPr>
            <w:tcW w:w="761" w:type="pct"/>
            <w:hideMark/>
          </w:tcPr>
          <w:p w:rsidR="004D1044" w:rsidRPr="0074017C" w:rsidRDefault="004D1044" w:rsidP="00DC10CD">
            <w:pPr>
              <w:jc w:val="both"/>
            </w:pPr>
            <w:r w:rsidRPr="0074017C">
              <w:t xml:space="preserve">         168,835 </w:t>
            </w:r>
          </w:p>
        </w:tc>
        <w:tc>
          <w:tcPr>
            <w:tcW w:w="888" w:type="pct"/>
            <w:hideMark/>
          </w:tcPr>
          <w:p w:rsidR="004D1044" w:rsidRPr="0074017C" w:rsidRDefault="004D1044" w:rsidP="00DC10CD">
            <w:pPr>
              <w:jc w:val="both"/>
            </w:pPr>
            <w:r w:rsidRPr="0074017C">
              <w:t xml:space="preserve">        41,026,804 </w:t>
            </w:r>
          </w:p>
        </w:tc>
        <w:tc>
          <w:tcPr>
            <w:tcW w:w="707" w:type="pct"/>
            <w:hideMark/>
          </w:tcPr>
          <w:p w:rsidR="004D1044" w:rsidRPr="0074017C" w:rsidRDefault="004D1044" w:rsidP="00DC10CD">
            <w:pPr>
              <w:jc w:val="both"/>
            </w:pPr>
            <w:r w:rsidRPr="0074017C">
              <w:t xml:space="preserve">              243 </w:t>
            </w:r>
          </w:p>
        </w:tc>
      </w:tr>
      <w:tr w:rsidR="004D1044" w:rsidRPr="0074017C" w:rsidTr="004D1044">
        <w:trPr>
          <w:trHeight w:val="225"/>
        </w:trPr>
        <w:tc>
          <w:tcPr>
            <w:tcW w:w="1322" w:type="pct"/>
            <w:hideMark/>
          </w:tcPr>
          <w:p w:rsidR="004D1044" w:rsidRPr="0074017C" w:rsidRDefault="004D1044" w:rsidP="00DC10CD">
            <w:pPr>
              <w:jc w:val="both"/>
            </w:pPr>
            <w:r w:rsidRPr="0074017C">
              <w:t>Cefazoline sodium</w:t>
            </w:r>
          </w:p>
        </w:tc>
        <w:tc>
          <w:tcPr>
            <w:tcW w:w="1322" w:type="pct"/>
            <w:hideMark/>
          </w:tcPr>
          <w:p w:rsidR="004D1044" w:rsidRPr="0074017C" w:rsidRDefault="004D1044" w:rsidP="00DC10CD">
            <w:pPr>
              <w:jc w:val="both"/>
            </w:pPr>
            <w:r w:rsidRPr="0074017C">
              <w:t>1 gram</w:t>
            </w:r>
          </w:p>
        </w:tc>
        <w:tc>
          <w:tcPr>
            <w:tcW w:w="761" w:type="pct"/>
            <w:hideMark/>
          </w:tcPr>
          <w:p w:rsidR="004D1044" w:rsidRPr="0074017C" w:rsidRDefault="004D1044" w:rsidP="00DC10CD">
            <w:pPr>
              <w:jc w:val="both"/>
            </w:pPr>
            <w:r w:rsidRPr="0074017C">
              <w:t xml:space="preserve">                104 </w:t>
            </w:r>
          </w:p>
        </w:tc>
        <w:tc>
          <w:tcPr>
            <w:tcW w:w="888" w:type="pct"/>
            <w:hideMark/>
          </w:tcPr>
          <w:p w:rsidR="004D1044" w:rsidRPr="0074017C" w:rsidRDefault="004D1044" w:rsidP="00DC10CD">
            <w:pPr>
              <w:jc w:val="both"/>
            </w:pPr>
            <w:r w:rsidRPr="0074017C">
              <w:t xml:space="preserve">        39,449,018 </w:t>
            </w:r>
          </w:p>
        </w:tc>
        <w:tc>
          <w:tcPr>
            <w:tcW w:w="707" w:type="pct"/>
            <w:hideMark/>
          </w:tcPr>
          <w:p w:rsidR="004D1044" w:rsidRPr="0074017C" w:rsidRDefault="004D1044" w:rsidP="00DC10CD">
            <w:pPr>
              <w:jc w:val="both"/>
            </w:pPr>
            <w:r w:rsidRPr="0074017C">
              <w:t xml:space="preserve">       378,877 </w:t>
            </w:r>
          </w:p>
        </w:tc>
      </w:tr>
      <w:tr w:rsidR="004D1044" w:rsidRPr="0074017C" w:rsidTr="004D1044">
        <w:trPr>
          <w:trHeight w:val="225"/>
        </w:trPr>
        <w:tc>
          <w:tcPr>
            <w:tcW w:w="1322" w:type="pct"/>
            <w:hideMark/>
          </w:tcPr>
          <w:p w:rsidR="004D1044" w:rsidRPr="0074017C" w:rsidRDefault="004D1044" w:rsidP="00DC10CD">
            <w:pPr>
              <w:jc w:val="both"/>
            </w:pPr>
            <w:r w:rsidRPr="0074017C">
              <w:t>Enoxaparinum sodium</w:t>
            </w:r>
          </w:p>
        </w:tc>
        <w:tc>
          <w:tcPr>
            <w:tcW w:w="1322" w:type="pct"/>
            <w:hideMark/>
          </w:tcPr>
          <w:p w:rsidR="004D1044" w:rsidRPr="0074017C" w:rsidRDefault="004D1044" w:rsidP="00DC10CD">
            <w:pPr>
              <w:jc w:val="both"/>
            </w:pPr>
            <w:r w:rsidRPr="0074017C">
              <w:t>4000 Ul - 0.4 ml</w:t>
            </w:r>
          </w:p>
        </w:tc>
        <w:tc>
          <w:tcPr>
            <w:tcW w:w="761" w:type="pct"/>
            <w:hideMark/>
          </w:tcPr>
          <w:p w:rsidR="004D1044" w:rsidRPr="0074017C" w:rsidRDefault="004D1044" w:rsidP="00DC10CD">
            <w:pPr>
              <w:jc w:val="both"/>
            </w:pPr>
            <w:r w:rsidRPr="0074017C">
              <w:t xml:space="preserve">                521 </w:t>
            </w:r>
          </w:p>
        </w:tc>
        <w:tc>
          <w:tcPr>
            <w:tcW w:w="888" w:type="pct"/>
            <w:hideMark/>
          </w:tcPr>
          <w:p w:rsidR="004D1044" w:rsidRPr="0074017C" w:rsidRDefault="004D1044" w:rsidP="00DC10CD">
            <w:pPr>
              <w:jc w:val="both"/>
            </w:pPr>
            <w:r w:rsidRPr="0074017C">
              <w:t xml:space="preserve">        36,536,629 </w:t>
            </w:r>
          </w:p>
        </w:tc>
        <w:tc>
          <w:tcPr>
            <w:tcW w:w="707" w:type="pct"/>
            <w:hideMark/>
          </w:tcPr>
          <w:p w:rsidR="004D1044" w:rsidRPr="0074017C" w:rsidRDefault="004D1044" w:rsidP="00DC10CD">
            <w:pPr>
              <w:jc w:val="both"/>
            </w:pPr>
            <w:r w:rsidRPr="0074017C">
              <w:t xml:space="preserve">         70,177 </w:t>
            </w:r>
          </w:p>
        </w:tc>
      </w:tr>
      <w:tr w:rsidR="004D1044" w:rsidRPr="0074017C" w:rsidTr="004D1044">
        <w:trPr>
          <w:trHeight w:val="225"/>
        </w:trPr>
        <w:tc>
          <w:tcPr>
            <w:tcW w:w="1322" w:type="pct"/>
            <w:hideMark/>
          </w:tcPr>
          <w:p w:rsidR="004D1044" w:rsidRPr="0074017C" w:rsidRDefault="004D1044" w:rsidP="00DC10CD">
            <w:pPr>
              <w:jc w:val="both"/>
            </w:pPr>
            <w:r w:rsidRPr="0074017C">
              <w:t>Glucose</w:t>
            </w:r>
          </w:p>
        </w:tc>
        <w:tc>
          <w:tcPr>
            <w:tcW w:w="1322" w:type="pct"/>
            <w:hideMark/>
          </w:tcPr>
          <w:p w:rsidR="004D1044" w:rsidRPr="0074017C" w:rsidRDefault="004D1044" w:rsidP="00DC10CD">
            <w:pPr>
              <w:jc w:val="both"/>
            </w:pPr>
            <w:r w:rsidRPr="0074017C">
              <w:t>5% - 500 ml</w:t>
            </w:r>
          </w:p>
        </w:tc>
        <w:tc>
          <w:tcPr>
            <w:tcW w:w="761" w:type="pct"/>
            <w:hideMark/>
          </w:tcPr>
          <w:p w:rsidR="004D1044" w:rsidRPr="0074017C" w:rsidRDefault="004D1044" w:rsidP="00DC10CD">
            <w:pPr>
              <w:jc w:val="both"/>
            </w:pPr>
            <w:r w:rsidRPr="0074017C">
              <w:t xml:space="preserve">                  86 </w:t>
            </w:r>
          </w:p>
        </w:tc>
        <w:tc>
          <w:tcPr>
            <w:tcW w:w="888" w:type="pct"/>
            <w:hideMark/>
          </w:tcPr>
          <w:p w:rsidR="004D1044" w:rsidRPr="0074017C" w:rsidRDefault="004D1044" w:rsidP="00DC10CD">
            <w:pPr>
              <w:jc w:val="both"/>
            </w:pPr>
            <w:r w:rsidRPr="0074017C">
              <w:t xml:space="preserve">        36,252,624 </w:t>
            </w:r>
          </w:p>
        </w:tc>
        <w:tc>
          <w:tcPr>
            <w:tcW w:w="707" w:type="pct"/>
            <w:hideMark/>
          </w:tcPr>
          <w:p w:rsidR="004D1044" w:rsidRPr="0074017C" w:rsidRDefault="004D1044" w:rsidP="00DC10CD">
            <w:pPr>
              <w:jc w:val="both"/>
            </w:pPr>
            <w:r w:rsidRPr="0074017C">
              <w:t xml:space="preserve">       423,844 </w:t>
            </w:r>
          </w:p>
        </w:tc>
      </w:tr>
      <w:tr w:rsidR="004D1044" w:rsidRPr="0074017C" w:rsidTr="004D1044">
        <w:trPr>
          <w:trHeight w:val="225"/>
        </w:trPr>
        <w:tc>
          <w:tcPr>
            <w:tcW w:w="1322" w:type="pct"/>
            <w:hideMark/>
          </w:tcPr>
          <w:p w:rsidR="004D1044" w:rsidRPr="0074017C" w:rsidRDefault="004D1044" w:rsidP="00DC10CD">
            <w:pPr>
              <w:jc w:val="both"/>
            </w:pPr>
            <w:r w:rsidRPr="0074017C">
              <w:t>Enoxaparinum sodium</w:t>
            </w:r>
          </w:p>
        </w:tc>
        <w:tc>
          <w:tcPr>
            <w:tcW w:w="1322" w:type="pct"/>
            <w:hideMark/>
          </w:tcPr>
          <w:p w:rsidR="004D1044" w:rsidRPr="0074017C" w:rsidRDefault="004D1044" w:rsidP="00DC10CD">
            <w:pPr>
              <w:jc w:val="both"/>
            </w:pPr>
            <w:r w:rsidRPr="0074017C">
              <w:t>6000 Ul - 0.6 ml</w:t>
            </w:r>
          </w:p>
        </w:tc>
        <w:tc>
          <w:tcPr>
            <w:tcW w:w="761" w:type="pct"/>
            <w:hideMark/>
          </w:tcPr>
          <w:p w:rsidR="004D1044" w:rsidRPr="0074017C" w:rsidRDefault="004D1044" w:rsidP="00DC10CD">
            <w:pPr>
              <w:jc w:val="both"/>
            </w:pPr>
            <w:r w:rsidRPr="0074017C">
              <w:t xml:space="preserve">                707 </w:t>
            </w:r>
          </w:p>
        </w:tc>
        <w:tc>
          <w:tcPr>
            <w:tcW w:w="888" w:type="pct"/>
            <w:hideMark/>
          </w:tcPr>
          <w:p w:rsidR="004D1044" w:rsidRPr="0074017C" w:rsidRDefault="004D1044" w:rsidP="00DC10CD">
            <w:pPr>
              <w:jc w:val="both"/>
            </w:pPr>
            <w:r w:rsidRPr="0074017C">
              <w:t xml:space="preserve">        29,693,846 </w:t>
            </w:r>
          </w:p>
        </w:tc>
        <w:tc>
          <w:tcPr>
            <w:tcW w:w="707" w:type="pct"/>
            <w:hideMark/>
          </w:tcPr>
          <w:p w:rsidR="004D1044" w:rsidRPr="0074017C" w:rsidRDefault="004D1044" w:rsidP="00DC10CD">
            <w:pPr>
              <w:jc w:val="both"/>
            </w:pPr>
            <w:r w:rsidRPr="0074017C">
              <w:t xml:space="preserve">         42,025 </w:t>
            </w:r>
          </w:p>
        </w:tc>
      </w:tr>
      <w:tr w:rsidR="004D1044" w:rsidRPr="0074017C" w:rsidTr="004D1044">
        <w:trPr>
          <w:trHeight w:val="225"/>
        </w:trPr>
        <w:tc>
          <w:tcPr>
            <w:tcW w:w="1322" w:type="pct"/>
            <w:hideMark/>
          </w:tcPr>
          <w:p w:rsidR="004D1044" w:rsidRPr="0074017C" w:rsidRDefault="004D1044" w:rsidP="00DC10CD">
            <w:pPr>
              <w:jc w:val="both"/>
            </w:pPr>
            <w:r w:rsidRPr="0074017C">
              <w:t>Bortezomib</w:t>
            </w:r>
          </w:p>
        </w:tc>
        <w:tc>
          <w:tcPr>
            <w:tcW w:w="1322" w:type="pct"/>
            <w:hideMark/>
          </w:tcPr>
          <w:p w:rsidR="004D1044" w:rsidRPr="0074017C" w:rsidRDefault="004D1044" w:rsidP="00DC10CD">
            <w:pPr>
              <w:jc w:val="both"/>
            </w:pPr>
            <w:r w:rsidRPr="0074017C">
              <w:t xml:space="preserve"> 3,5 mg</w:t>
            </w:r>
          </w:p>
        </w:tc>
        <w:tc>
          <w:tcPr>
            <w:tcW w:w="761" w:type="pct"/>
            <w:hideMark/>
          </w:tcPr>
          <w:p w:rsidR="004D1044" w:rsidRPr="0074017C" w:rsidRDefault="004D1044" w:rsidP="00DC10CD">
            <w:pPr>
              <w:jc w:val="both"/>
            </w:pPr>
            <w:r w:rsidRPr="0074017C">
              <w:t xml:space="preserve">         140,988 </w:t>
            </w:r>
          </w:p>
        </w:tc>
        <w:tc>
          <w:tcPr>
            <w:tcW w:w="888" w:type="pct"/>
            <w:hideMark/>
          </w:tcPr>
          <w:p w:rsidR="004D1044" w:rsidRPr="0074017C" w:rsidRDefault="004D1044" w:rsidP="00DC10CD">
            <w:pPr>
              <w:jc w:val="both"/>
            </w:pPr>
            <w:r w:rsidRPr="0074017C">
              <w:t xml:space="preserve">        28,197,613 </w:t>
            </w:r>
          </w:p>
        </w:tc>
        <w:tc>
          <w:tcPr>
            <w:tcW w:w="707" w:type="pct"/>
            <w:hideMark/>
          </w:tcPr>
          <w:p w:rsidR="004D1044" w:rsidRPr="0074017C" w:rsidRDefault="004D1044" w:rsidP="00DC10CD">
            <w:pPr>
              <w:jc w:val="both"/>
            </w:pPr>
            <w:r w:rsidRPr="0074017C">
              <w:t xml:space="preserve">              200 </w:t>
            </w:r>
          </w:p>
        </w:tc>
      </w:tr>
      <w:tr w:rsidR="004D1044" w:rsidRPr="0074017C" w:rsidTr="004D1044">
        <w:trPr>
          <w:trHeight w:val="225"/>
        </w:trPr>
        <w:tc>
          <w:tcPr>
            <w:tcW w:w="1322" w:type="pct"/>
            <w:hideMark/>
          </w:tcPr>
          <w:p w:rsidR="004D1044" w:rsidRPr="0074017C" w:rsidRDefault="004D1044" w:rsidP="00DC10CD">
            <w:pPr>
              <w:jc w:val="both"/>
            </w:pPr>
            <w:r w:rsidRPr="0074017C">
              <w:t>Sunitinib</w:t>
            </w:r>
          </w:p>
        </w:tc>
        <w:tc>
          <w:tcPr>
            <w:tcW w:w="1322" w:type="pct"/>
            <w:hideMark/>
          </w:tcPr>
          <w:p w:rsidR="004D1044" w:rsidRPr="0074017C" w:rsidRDefault="004D1044" w:rsidP="00DC10CD">
            <w:pPr>
              <w:jc w:val="both"/>
            </w:pPr>
            <w:r w:rsidRPr="0074017C">
              <w:t>50 mg</w:t>
            </w:r>
          </w:p>
        </w:tc>
        <w:tc>
          <w:tcPr>
            <w:tcW w:w="761" w:type="pct"/>
            <w:hideMark/>
          </w:tcPr>
          <w:p w:rsidR="004D1044" w:rsidRPr="0074017C" w:rsidRDefault="004D1044" w:rsidP="00DC10CD">
            <w:pPr>
              <w:jc w:val="both"/>
            </w:pPr>
            <w:r w:rsidRPr="0074017C">
              <w:t xml:space="preserve">           23,575 </w:t>
            </w:r>
          </w:p>
        </w:tc>
        <w:tc>
          <w:tcPr>
            <w:tcW w:w="888" w:type="pct"/>
            <w:hideMark/>
          </w:tcPr>
          <w:p w:rsidR="004D1044" w:rsidRPr="0074017C" w:rsidRDefault="004D1044" w:rsidP="00DC10CD">
            <w:pPr>
              <w:jc w:val="both"/>
            </w:pPr>
            <w:r w:rsidRPr="0074017C">
              <w:t xml:space="preserve">        27,040,312 </w:t>
            </w:r>
          </w:p>
        </w:tc>
        <w:tc>
          <w:tcPr>
            <w:tcW w:w="707" w:type="pct"/>
            <w:hideMark/>
          </w:tcPr>
          <w:p w:rsidR="004D1044" w:rsidRPr="0074017C" w:rsidRDefault="004D1044" w:rsidP="00DC10CD">
            <w:pPr>
              <w:jc w:val="both"/>
            </w:pPr>
            <w:r w:rsidRPr="0074017C">
              <w:t xml:space="preserve">           1,147 </w:t>
            </w:r>
          </w:p>
        </w:tc>
      </w:tr>
      <w:tr w:rsidR="004D1044" w:rsidRPr="0074017C" w:rsidTr="004D1044">
        <w:trPr>
          <w:trHeight w:val="225"/>
        </w:trPr>
        <w:tc>
          <w:tcPr>
            <w:tcW w:w="1322" w:type="pct"/>
            <w:hideMark/>
          </w:tcPr>
          <w:p w:rsidR="004D1044" w:rsidRPr="0074017C" w:rsidRDefault="004D1044" w:rsidP="00DC10CD">
            <w:pPr>
              <w:jc w:val="both"/>
            </w:pPr>
            <w:r w:rsidRPr="0074017C">
              <w:t>Prednisolone</w:t>
            </w:r>
          </w:p>
        </w:tc>
        <w:tc>
          <w:tcPr>
            <w:tcW w:w="1322" w:type="pct"/>
            <w:hideMark/>
          </w:tcPr>
          <w:p w:rsidR="004D1044" w:rsidRPr="0074017C" w:rsidRDefault="004D1044" w:rsidP="00DC10CD">
            <w:pPr>
              <w:jc w:val="both"/>
            </w:pPr>
            <w:r w:rsidRPr="0074017C">
              <w:t>25 mg/2ml</w:t>
            </w:r>
          </w:p>
        </w:tc>
        <w:tc>
          <w:tcPr>
            <w:tcW w:w="761" w:type="pct"/>
            <w:hideMark/>
          </w:tcPr>
          <w:p w:rsidR="004D1044" w:rsidRPr="0074017C" w:rsidRDefault="004D1044" w:rsidP="00DC10CD">
            <w:pPr>
              <w:jc w:val="both"/>
            </w:pPr>
            <w:r w:rsidRPr="0074017C">
              <w:t xml:space="preserve">                167 </w:t>
            </w:r>
          </w:p>
        </w:tc>
        <w:tc>
          <w:tcPr>
            <w:tcW w:w="888" w:type="pct"/>
            <w:hideMark/>
          </w:tcPr>
          <w:p w:rsidR="004D1044" w:rsidRPr="0074017C" w:rsidRDefault="004D1044" w:rsidP="00DC10CD">
            <w:pPr>
              <w:jc w:val="both"/>
            </w:pPr>
            <w:r w:rsidRPr="0074017C">
              <w:t xml:space="preserve">        26,923,779 </w:t>
            </w:r>
          </w:p>
        </w:tc>
        <w:tc>
          <w:tcPr>
            <w:tcW w:w="707" w:type="pct"/>
            <w:hideMark/>
          </w:tcPr>
          <w:p w:rsidR="004D1044" w:rsidRPr="0074017C" w:rsidRDefault="004D1044" w:rsidP="00DC10CD">
            <w:pPr>
              <w:jc w:val="both"/>
            </w:pPr>
            <w:r w:rsidRPr="0074017C">
              <w:t xml:space="preserve">       160,835 </w:t>
            </w:r>
          </w:p>
        </w:tc>
      </w:tr>
      <w:tr w:rsidR="004D1044" w:rsidRPr="0074017C" w:rsidTr="004D1044">
        <w:trPr>
          <w:trHeight w:val="225"/>
        </w:trPr>
        <w:tc>
          <w:tcPr>
            <w:tcW w:w="1322" w:type="pct"/>
            <w:hideMark/>
          </w:tcPr>
          <w:p w:rsidR="004D1044" w:rsidRPr="0074017C" w:rsidRDefault="004D1044" w:rsidP="00DC10CD">
            <w:pPr>
              <w:jc w:val="both"/>
            </w:pPr>
            <w:r w:rsidRPr="0074017C">
              <w:t>Dalteparin</w:t>
            </w:r>
          </w:p>
        </w:tc>
        <w:tc>
          <w:tcPr>
            <w:tcW w:w="1322" w:type="pct"/>
            <w:hideMark/>
          </w:tcPr>
          <w:p w:rsidR="004D1044" w:rsidRPr="0074017C" w:rsidRDefault="004D1044" w:rsidP="00DC10CD">
            <w:pPr>
              <w:jc w:val="both"/>
            </w:pPr>
            <w:r w:rsidRPr="0074017C">
              <w:t>5000 IU - 0.2 ml</w:t>
            </w:r>
          </w:p>
        </w:tc>
        <w:tc>
          <w:tcPr>
            <w:tcW w:w="761" w:type="pct"/>
            <w:hideMark/>
          </w:tcPr>
          <w:p w:rsidR="004D1044" w:rsidRPr="0074017C" w:rsidRDefault="004D1044" w:rsidP="00DC10CD">
            <w:pPr>
              <w:jc w:val="both"/>
            </w:pPr>
            <w:r w:rsidRPr="0074017C">
              <w:t xml:space="preserve">                443 </w:t>
            </w:r>
          </w:p>
        </w:tc>
        <w:tc>
          <w:tcPr>
            <w:tcW w:w="888" w:type="pct"/>
            <w:hideMark/>
          </w:tcPr>
          <w:p w:rsidR="004D1044" w:rsidRPr="0074017C" w:rsidRDefault="004D1044" w:rsidP="00DC10CD">
            <w:pPr>
              <w:jc w:val="both"/>
            </w:pPr>
            <w:r w:rsidRPr="0074017C">
              <w:t xml:space="preserve">        26,153,749 </w:t>
            </w:r>
          </w:p>
        </w:tc>
        <w:tc>
          <w:tcPr>
            <w:tcW w:w="707" w:type="pct"/>
            <w:hideMark/>
          </w:tcPr>
          <w:p w:rsidR="004D1044" w:rsidRPr="0074017C" w:rsidRDefault="004D1044" w:rsidP="00DC10CD">
            <w:pPr>
              <w:jc w:val="both"/>
            </w:pPr>
            <w:r w:rsidRPr="0074017C">
              <w:t xml:space="preserve">         59,000 </w:t>
            </w:r>
          </w:p>
        </w:tc>
      </w:tr>
      <w:tr w:rsidR="004D1044" w:rsidRPr="0074017C" w:rsidTr="004D1044">
        <w:trPr>
          <w:trHeight w:val="225"/>
        </w:trPr>
        <w:tc>
          <w:tcPr>
            <w:tcW w:w="1322" w:type="pct"/>
            <w:hideMark/>
          </w:tcPr>
          <w:p w:rsidR="004D1044" w:rsidRPr="0074017C" w:rsidRDefault="004D1044" w:rsidP="00DC10CD">
            <w:pPr>
              <w:jc w:val="both"/>
            </w:pPr>
            <w:r w:rsidRPr="0074017C">
              <w:t>Etanercept</w:t>
            </w:r>
          </w:p>
        </w:tc>
        <w:tc>
          <w:tcPr>
            <w:tcW w:w="1322" w:type="pct"/>
            <w:hideMark/>
          </w:tcPr>
          <w:p w:rsidR="004D1044" w:rsidRPr="0074017C" w:rsidRDefault="004D1044" w:rsidP="00DC10CD">
            <w:pPr>
              <w:jc w:val="both"/>
            </w:pPr>
            <w:r w:rsidRPr="0074017C">
              <w:t>50 mg</w:t>
            </w:r>
          </w:p>
        </w:tc>
        <w:tc>
          <w:tcPr>
            <w:tcW w:w="761" w:type="pct"/>
            <w:hideMark/>
          </w:tcPr>
          <w:p w:rsidR="004D1044" w:rsidRPr="0074017C" w:rsidRDefault="004D1044" w:rsidP="00DC10CD">
            <w:pPr>
              <w:jc w:val="both"/>
            </w:pPr>
            <w:r w:rsidRPr="0074017C">
              <w:t xml:space="preserve">           34,486 </w:t>
            </w:r>
          </w:p>
        </w:tc>
        <w:tc>
          <w:tcPr>
            <w:tcW w:w="888" w:type="pct"/>
            <w:hideMark/>
          </w:tcPr>
          <w:p w:rsidR="004D1044" w:rsidRPr="0074017C" w:rsidRDefault="004D1044" w:rsidP="00DC10CD">
            <w:pPr>
              <w:jc w:val="both"/>
            </w:pPr>
            <w:r w:rsidRPr="0074017C">
              <w:t xml:space="preserve">        24,140,043 </w:t>
            </w:r>
          </w:p>
        </w:tc>
        <w:tc>
          <w:tcPr>
            <w:tcW w:w="707" w:type="pct"/>
            <w:hideMark/>
          </w:tcPr>
          <w:p w:rsidR="004D1044" w:rsidRPr="0074017C" w:rsidRDefault="004D1044" w:rsidP="00DC10CD">
            <w:pPr>
              <w:jc w:val="both"/>
            </w:pPr>
            <w:r w:rsidRPr="0074017C">
              <w:t xml:space="preserve">              700 </w:t>
            </w:r>
          </w:p>
        </w:tc>
      </w:tr>
      <w:tr w:rsidR="004D1044" w:rsidRPr="0074017C" w:rsidTr="004D1044">
        <w:trPr>
          <w:trHeight w:val="225"/>
        </w:trPr>
        <w:tc>
          <w:tcPr>
            <w:tcW w:w="1322" w:type="pct"/>
            <w:hideMark/>
          </w:tcPr>
          <w:p w:rsidR="004D1044" w:rsidRPr="0074017C" w:rsidRDefault="004D1044" w:rsidP="00DC10CD">
            <w:pPr>
              <w:jc w:val="both"/>
            </w:pPr>
            <w:r w:rsidRPr="0074017C">
              <w:t>Sodium Chloride</w:t>
            </w:r>
          </w:p>
        </w:tc>
        <w:tc>
          <w:tcPr>
            <w:tcW w:w="1322" w:type="pct"/>
            <w:hideMark/>
          </w:tcPr>
          <w:p w:rsidR="004D1044" w:rsidRPr="0074017C" w:rsidRDefault="004D1044" w:rsidP="00DC10CD">
            <w:pPr>
              <w:jc w:val="both"/>
            </w:pPr>
            <w:r w:rsidRPr="0074017C">
              <w:t>0.9% - 250 ml</w:t>
            </w:r>
          </w:p>
        </w:tc>
        <w:tc>
          <w:tcPr>
            <w:tcW w:w="761" w:type="pct"/>
            <w:hideMark/>
          </w:tcPr>
          <w:p w:rsidR="004D1044" w:rsidRPr="0074017C" w:rsidRDefault="004D1044" w:rsidP="00DC10CD">
            <w:pPr>
              <w:jc w:val="both"/>
            </w:pPr>
            <w:r w:rsidRPr="0074017C">
              <w:t xml:space="preserve">                  86 </w:t>
            </w:r>
          </w:p>
        </w:tc>
        <w:tc>
          <w:tcPr>
            <w:tcW w:w="888" w:type="pct"/>
            <w:hideMark/>
          </w:tcPr>
          <w:p w:rsidR="004D1044" w:rsidRPr="0074017C" w:rsidRDefault="004D1044" w:rsidP="00DC10CD">
            <w:pPr>
              <w:jc w:val="both"/>
            </w:pPr>
            <w:r w:rsidRPr="0074017C">
              <w:t xml:space="preserve">        23,976,734 </w:t>
            </w:r>
          </w:p>
        </w:tc>
        <w:tc>
          <w:tcPr>
            <w:tcW w:w="707" w:type="pct"/>
            <w:hideMark/>
          </w:tcPr>
          <w:p w:rsidR="004D1044" w:rsidRPr="0074017C" w:rsidRDefault="004D1044" w:rsidP="00DC10CD">
            <w:pPr>
              <w:jc w:val="both"/>
            </w:pPr>
            <w:r w:rsidRPr="0074017C">
              <w:t xml:space="preserve">       277,905 </w:t>
            </w:r>
          </w:p>
        </w:tc>
      </w:tr>
      <w:tr w:rsidR="004D1044" w:rsidRPr="0074017C" w:rsidTr="004D1044">
        <w:trPr>
          <w:trHeight w:val="225"/>
        </w:trPr>
        <w:tc>
          <w:tcPr>
            <w:tcW w:w="1322" w:type="pct"/>
            <w:hideMark/>
          </w:tcPr>
          <w:p w:rsidR="004D1044" w:rsidRPr="0074017C" w:rsidRDefault="004D1044" w:rsidP="00DC10CD">
            <w:pPr>
              <w:jc w:val="both"/>
            </w:pPr>
            <w:r w:rsidRPr="0074017C">
              <w:t>Ceftriaxone</w:t>
            </w:r>
          </w:p>
        </w:tc>
        <w:tc>
          <w:tcPr>
            <w:tcW w:w="1322" w:type="pct"/>
            <w:hideMark/>
          </w:tcPr>
          <w:p w:rsidR="004D1044" w:rsidRPr="0074017C" w:rsidRDefault="004D1044" w:rsidP="00DC10CD">
            <w:pPr>
              <w:jc w:val="both"/>
            </w:pPr>
            <w:r w:rsidRPr="0074017C">
              <w:t>1 gram</w:t>
            </w:r>
          </w:p>
        </w:tc>
        <w:tc>
          <w:tcPr>
            <w:tcW w:w="761" w:type="pct"/>
            <w:hideMark/>
          </w:tcPr>
          <w:p w:rsidR="004D1044" w:rsidRPr="0074017C" w:rsidRDefault="004D1044" w:rsidP="00DC10CD">
            <w:pPr>
              <w:jc w:val="both"/>
            </w:pPr>
            <w:r w:rsidRPr="0074017C">
              <w:t xml:space="preserve">                193 </w:t>
            </w:r>
          </w:p>
        </w:tc>
        <w:tc>
          <w:tcPr>
            <w:tcW w:w="888" w:type="pct"/>
            <w:hideMark/>
          </w:tcPr>
          <w:p w:rsidR="004D1044" w:rsidRPr="0074017C" w:rsidRDefault="004D1044" w:rsidP="00DC10CD">
            <w:pPr>
              <w:jc w:val="both"/>
            </w:pPr>
            <w:r w:rsidRPr="0074017C">
              <w:t xml:space="preserve">        19,687,903 </w:t>
            </w:r>
          </w:p>
        </w:tc>
        <w:tc>
          <w:tcPr>
            <w:tcW w:w="707" w:type="pct"/>
            <w:hideMark/>
          </w:tcPr>
          <w:p w:rsidR="004D1044" w:rsidRPr="0074017C" w:rsidRDefault="004D1044" w:rsidP="00DC10CD">
            <w:pPr>
              <w:jc w:val="both"/>
            </w:pPr>
            <w:r w:rsidRPr="0074017C">
              <w:t xml:space="preserve">       101,810 </w:t>
            </w:r>
          </w:p>
        </w:tc>
      </w:tr>
      <w:tr w:rsidR="004D1044" w:rsidRPr="0074017C" w:rsidTr="004D1044">
        <w:trPr>
          <w:trHeight w:val="225"/>
        </w:trPr>
        <w:tc>
          <w:tcPr>
            <w:tcW w:w="1322" w:type="pct"/>
            <w:hideMark/>
          </w:tcPr>
          <w:p w:rsidR="004D1044" w:rsidRPr="0074017C" w:rsidRDefault="004D1044" w:rsidP="00DC10CD">
            <w:pPr>
              <w:jc w:val="both"/>
            </w:pPr>
            <w:r w:rsidRPr="0074017C">
              <w:t>Dextrose+ intralipid</w:t>
            </w:r>
          </w:p>
        </w:tc>
        <w:tc>
          <w:tcPr>
            <w:tcW w:w="1322" w:type="pct"/>
            <w:hideMark/>
          </w:tcPr>
          <w:p w:rsidR="004D1044" w:rsidRPr="0074017C" w:rsidRDefault="004D1044" w:rsidP="00DC10CD">
            <w:pPr>
              <w:jc w:val="both"/>
            </w:pPr>
            <w:r w:rsidRPr="0074017C">
              <w:t>1440 ml</w:t>
            </w:r>
          </w:p>
        </w:tc>
        <w:tc>
          <w:tcPr>
            <w:tcW w:w="761" w:type="pct"/>
            <w:hideMark/>
          </w:tcPr>
          <w:p w:rsidR="004D1044" w:rsidRPr="0074017C" w:rsidRDefault="004D1044" w:rsidP="00DC10CD">
            <w:pPr>
              <w:jc w:val="both"/>
            </w:pPr>
            <w:r w:rsidRPr="0074017C">
              <w:t xml:space="preserve">             6,152 </w:t>
            </w:r>
          </w:p>
        </w:tc>
        <w:tc>
          <w:tcPr>
            <w:tcW w:w="888" w:type="pct"/>
            <w:hideMark/>
          </w:tcPr>
          <w:p w:rsidR="004D1044" w:rsidRPr="0074017C" w:rsidRDefault="004D1044" w:rsidP="00DC10CD">
            <w:pPr>
              <w:jc w:val="both"/>
            </w:pPr>
            <w:r w:rsidRPr="0074017C">
              <w:t xml:space="preserve">        18,820,262 </w:t>
            </w:r>
          </w:p>
        </w:tc>
        <w:tc>
          <w:tcPr>
            <w:tcW w:w="707" w:type="pct"/>
            <w:hideMark/>
          </w:tcPr>
          <w:p w:rsidR="004D1044" w:rsidRPr="0074017C" w:rsidRDefault="004D1044" w:rsidP="00DC10CD">
            <w:pPr>
              <w:jc w:val="both"/>
            </w:pPr>
            <w:r w:rsidRPr="0074017C">
              <w:t xml:space="preserve">           3,059 </w:t>
            </w:r>
          </w:p>
        </w:tc>
      </w:tr>
    </w:tbl>
    <w:p w:rsidR="004D1044" w:rsidRPr="0074017C" w:rsidRDefault="004D1044" w:rsidP="00DC10CD">
      <w:pPr>
        <w:spacing w:after="0" w:line="240" w:lineRule="auto"/>
        <w:jc w:val="both"/>
      </w:pPr>
    </w:p>
    <w:p w:rsidR="001B5D5B" w:rsidRPr="0074017C" w:rsidRDefault="001B5D5B" w:rsidP="00DC10CD">
      <w:pPr>
        <w:pStyle w:val="Heading3"/>
        <w:spacing w:before="0" w:line="240" w:lineRule="auto"/>
      </w:pPr>
      <w:bookmarkStart w:id="18" w:name="_Toc391556316"/>
      <w:r w:rsidRPr="0074017C">
        <w:lastRenderedPageBreak/>
        <w:t>Reimbursed medicines - therapeutic options</w:t>
      </w:r>
      <w:bookmarkEnd w:id="18"/>
    </w:p>
    <w:p w:rsidR="004D1044" w:rsidRPr="0074017C" w:rsidRDefault="004D1044" w:rsidP="00DC10CD">
      <w:pPr>
        <w:spacing w:after="0" w:line="240" w:lineRule="auto"/>
        <w:jc w:val="both"/>
      </w:pPr>
    </w:p>
    <w:p w:rsidR="00B23FE5" w:rsidRPr="00C942A9" w:rsidRDefault="005E3CD1" w:rsidP="00DC10CD">
      <w:pPr>
        <w:spacing w:after="0" w:line="240" w:lineRule="auto"/>
        <w:jc w:val="both"/>
        <w:rPr>
          <w:b/>
        </w:rPr>
      </w:pPr>
      <w:r w:rsidRPr="0074017C">
        <w:t xml:space="preserve">Contrary to the list of prescription medicines and expensive outpatient medicines, the list of hospital medicines is fairly rich in therapeutic options </w:t>
      </w:r>
      <w:r w:rsidR="006561B6" w:rsidRPr="0074017C">
        <w:t xml:space="preserve">(including high priced medicines) </w:t>
      </w:r>
      <w:r w:rsidRPr="0074017C">
        <w:t xml:space="preserve">– substantially richer than could be expected having in mind modest public expenditure on health. </w:t>
      </w:r>
      <w:r w:rsidRPr="00C942A9">
        <w:rPr>
          <w:b/>
        </w:rPr>
        <w:t xml:space="preserve">However, quantities of procured unit doses </w:t>
      </w:r>
      <w:r w:rsidR="00B23FE5" w:rsidRPr="00C942A9">
        <w:rPr>
          <w:b/>
        </w:rPr>
        <w:t xml:space="preserve">of expensive medicines </w:t>
      </w:r>
      <w:r w:rsidRPr="00C942A9">
        <w:rPr>
          <w:b/>
        </w:rPr>
        <w:t xml:space="preserve">are very low, far lower than could be expected </w:t>
      </w:r>
      <w:r w:rsidR="00731DF1" w:rsidRPr="00C942A9">
        <w:rPr>
          <w:b/>
        </w:rPr>
        <w:t>if</w:t>
      </w:r>
      <w:r w:rsidRPr="00C942A9">
        <w:rPr>
          <w:b/>
        </w:rPr>
        <w:t xml:space="preserve"> the numbers of patients treated</w:t>
      </w:r>
      <w:r w:rsidR="00731DF1" w:rsidRPr="00C942A9">
        <w:rPr>
          <w:b/>
        </w:rPr>
        <w:t xml:space="preserve"> is taken into consideration</w:t>
      </w:r>
      <w:r w:rsidRPr="00C942A9">
        <w:rPr>
          <w:b/>
        </w:rPr>
        <w:t xml:space="preserve">. </w:t>
      </w:r>
      <w:r w:rsidR="00B23FE5" w:rsidRPr="00C942A9">
        <w:rPr>
          <w:b/>
        </w:rPr>
        <w:t>This would imply that therapy is not standardized, i.e. all patients not having access to the same levels of publicly financed medicines. While hospitals are allowed to procure additional quantities of medicines subject to available funds, information gathered during the mission to Albania s</w:t>
      </w:r>
      <w:r w:rsidR="00731DF1" w:rsidRPr="00C942A9">
        <w:rPr>
          <w:b/>
        </w:rPr>
        <w:t>uggest</w:t>
      </w:r>
      <w:r w:rsidR="00B23FE5" w:rsidRPr="00C942A9">
        <w:rPr>
          <w:b/>
        </w:rPr>
        <w:t xml:space="preserve"> that patients in major part have to finance these out of pocket</w:t>
      </w:r>
      <w:r w:rsidR="00731DF1" w:rsidRPr="00C942A9">
        <w:rPr>
          <w:b/>
        </w:rPr>
        <w:t xml:space="preserve"> as drug shortages are </w:t>
      </w:r>
      <w:r w:rsidR="006561B6" w:rsidRPr="00C942A9">
        <w:rPr>
          <w:b/>
        </w:rPr>
        <w:t>common</w:t>
      </w:r>
      <w:r w:rsidR="00B23FE5" w:rsidRPr="00C942A9">
        <w:rPr>
          <w:b/>
        </w:rPr>
        <w:t xml:space="preserve">. </w:t>
      </w:r>
      <w:r w:rsidR="00731DF1" w:rsidRPr="00C942A9">
        <w:rPr>
          <w:b/>
        </w:rPr>
        <w:t xml:space="preserve">Alternatively, this issue may be contributing to growing hospital arrears – particularly in the Tertiary Mother Teresa hospital </w:t>
      </w:r>
      <w:r w:rsidR="006561B6" w:rsidRPr="00C942A9">
        <w:rPr>
          <w:b/>
        </w:rPr>
        <w:t>where</w:t>
      </w:r>
      <w:r w:rsidR="00731DF1" w:rsidRPr="00C942A9">
        <w:rPr>
          <w:b/>
        </w:rPr>
        <w:t xml:space="preserve"> the most complicated patients </w:t>
      </w:r>
      <w:r w:rsidR="006561B6" w:rsidRPr="00C942A9">
        <w:rPr>
          <w:b/>
        </w:rPr>
        <w:t xml:space="preserve">are treated </w:t>
      </w:r>
      <w:r w:rsidR="00731DF1" w:rsidRPr="00C942A9">
        <w:rPr>
          <w:b/>
        </w:rPr>
        <w:t xml:space="preserve">and accounts for the majority of expenditure on expensive medicines. </w:t>
      </w:r>
    </w:p>
    <w:p w:rsidR="00B23FE5" w:rsidRPr="00C942A9" w:rsidRDefault="00B23FE5" w:rsidP="00DC10CD">
      <w:pPr>
        <w:spacing w:after="0" w:line="240" w:lineRule="auto"/>
        <w:jc w:val="both"/>
        <w:rPr>
          <w:b/>
        </w:rPr>
      </w:pPr>
    </w:p>
    <w:p w:rsidR="00B23FE5" w:rsidRPr="00C942A9" w:rsidRDefault="00B23FE5" w:rsidP="00DC10CD">
      <w:pPr>
        <w:spacing w:after="0" w:line="240" w:lineRule="auto"/>
        <w:jc w:val="both"/>
        <w:rPr>
          <w:b/>
        </w:rPr>
      </w:pPr>
      <w:r w:rsidRPr="00C942A9">
        <w:rPr>
          <w:b/>
        </w:rPr>
        <w:t xml:space="preserve">Therapy is not standardized. The hospital list does not mention treatment protocols, and there are no formal conditions when a particular drug </w:t>
      </w:r>
      <w:r w:rsidR="00F2161D" w:rsidRPr="00C942A9">
        <w:rPr>
          <w:b/>
        </w:rPr>
        <w:t xml:space="preserve">should or </w:t>
      </w:r>
      <w:r w:rsidRPr="00C942A9">
        <w:rPr>
          <w:b/>
        </w:rPr>
        <w:t>may be administered (lines of treatment</w:t>
      </w:r>
      <w:r w:rsidR="00875271" w:rsidRPr="00C942A9">
        <w:rPr>
          <w:b/>
        </w:rPr>
        <w:t>).</w:t>
      </w:r>
    </w:p>
    <w:p w:rsidR="005E3CD1" w:rsidRPr="0074017C" w:rsidRDefault="005E3CD1" w:rsidP="00DC10CD">
      <w:pPr>
        <w:spacing w:after="0" w:line="240" w:lineRule="auto"/>
        <w:jc w:val="both"/>
      </w:pPr>
    </w:p>
    <w:p w:rsidR="000260D3" w:rsidRPr="0074017C" w:rsidRDefault="00D076D5" w:rsidP="00DC10CD">
      <w:pPr>
        <w:spacing w:after="0" w:line="240" w:lineRule="auto"/>
        <w:jc w:val="both"/>
      </w:pPr>
      <w:r w:rsidRPr="0074017C">
        <w:t>Table 20</w:t>
      </w:r>
      <w:r w:rsidR="004D1044" w:rsidRPr="0074017C">
        <w:t xml:space="preserve"> lists 15 of the most expensive medicines by unit price in the hospital list of medicines, including prices and quantities procured. </w:t>
      </w:r>
    </w:p>
    <w:p w:rsidR="001C5BB8" w:rsidRPr="0074017C" w:rsidRDefault="001C5BB8" w:rsidP="00DC10CD">
      <w:pPr>
        <w:spacing w:after="0" w:line="240" w:lineRule="auto"/>
        <w:jc w:val="both"/>
        <w:rPr>
          <w:b/>
        </w:rPr>
      </w:pPr>
    </w:p>
    <w:p w:rsidR="001C5BB8" w:rsidRPr="0074017C" w:rsidRDefault="00D076D5" w:rsidP="00DC10CD">
      <w:pPr>
        <w:spacing w:after="0" w:line="240" w:lineRule="auto"/>
        <w:jc w:val="both"/>
      </w:pPr>
      <w:r w:rsidRPr="0074017C">
        <w:t>Table 20</w:t>
      </w:r>
      <w:r w:rsidR="00F5237D" w:rsidRPr="0074017C">
        <w:t xml:space="preserve"> – Expenditure on 15 most expensive hospital medicines in 2012</w:t>
      </w:r>
    </w:p>
    <w:tbl>
      <w:tblPr>
        <w:tblStyle w:val="TableGrid"/>
        <w:tblW w:w="5000" w:type="pct"/>
        <w:tblLook w:val="04A0"/>
      </w:tblPr>
      <w:tblGrid>
        <w:gridCol w:w="2310"/>
        <w:gridCol w:w="2310"/>
        <w:gridCol w:w="1754"/>
        <w:gridCol w:w="1775"/>
        <w:gridCol w:w="1427"/>
      </w:tblGrid>
      <w:tr w:rsidR="004D1044" w:rsidRPr="0074017C" w:rsidTr="004D1044">
        <w:tc>
          <w:tcPr>
            <w:tcW w:w="1206" w:type="pct"/>
            <w:hideMark/>
          </w:tcPr>
          <w:p w:rsidR="004D1044" w:rsidRPr="0074017C" w:rsidRDefault="004D1044" w:rsidP="00DC10CD">
            <w:pPr>
              <w:jc w:val="both"/>
              <w:rPr>
                <w:b/>
                <w:bCs/>
              </w:rPr>
            </w:pPr>
            <w:r w:rsidRPr="0074017C">
              <w:rPr>
                <w:b/>
                <w:bCs/>
              </w:rPr>
              <w:t>INN</w:t>
            </w:r>
          </w:p>
        </w:tc>
        <w:tc>
          <w:tcPr>
            <w:tcW w:w="1206" w:type="pct"/>
            <w:hideMark/>
          </w:tcPr>
          <w:p w:rsidR="004D1044" w:rsidRPr="0074017C" w:rsidRDefault="004D1044" w:rsidP="00DC10CD">
            <w:pPr>
              <w:jc w:val="both"/>
              <w:rPr>
                <w:b/>
                <w:bCs/>
              </w:rPr>
            </w:pPr>
            <w:r w:rsidRPr="0074017C">
              <w:rPr>
                <w:b/>
                <w:bCs/>
              </w:rPr>
              <w:t>Dose</w:t>
            </w:r>
          </w:p>
        </w:tc>
        <w:tc>
          <w:tcPr>
            <w:tcW w:w="916" w:type="pct"/>
            <w:hideMark/>
          </w:tcPr>
          <w:p w:rsidR="004D1044" w:rsidRPr="0074017C" w:rsidRDefault="004D1044" w:rsidP="00DC10CD">
            <w:pPr>
              <w:jc w:val="both"/>
              <w:rPr>
                <w:b/>
                <w:bCs/>
              </w:rPr>
            </w:pPr>
            <w:r w:rsidRPr="0074017C">
              <w:rPr>
                <w:b/>
                <w:bCs/>
              </w:rPr>
              <w:t xml:space="preserve"> Price limit </w:t>
            </w:r>
          </w:p>
        </w:tc>
        <w:tc>
          <w:tcPr>
            <w:tcW w:w="927" w:type="pct"/>
            <w:hideMark/>
          </w:tcPr>
          <w:p w:rsidR="004D1044" w:rsidRPr="0074017C" w:rsidRDefault="004D1044" w:rsidP="00DC10CD">
            <w:pPr>
              <w:jc w:val="both"/>
              <w:rPr>
                <w:b/>
                <w:bCs/>
              </w:rPr>
            </w:pPr>
            <w:r w:rsidRPr="0074017C">
              <w:rPr>
                <w:b/>
                <w:bCs/>
              </w:rPr>
              <w:t>Budget in Lek</w:t>
            </w:r>
          </w:p>
        </w:tc>
        <w:tc>
          <w:tcPr>
            <w:tcW w:w="745" w:type="pct"/>
            <w:hideMark/>
          </w:tcPr>
          <w:p w:rsidR="004D1044" w:rsidRPr="0074017C" w:rsidRDefault="004D1044" w:rsidP="00DC10CD">
            <w:pPr>
              <w:jc w:val="both"/>
              <w:rPr>
                <w:b/>
                <w:bCs/>
              </w:rPr>
            </w:pPr>
            <w:r w:rsidRPr="0074017C">
              <w:rPr>
                <w:b/>
                <w:bCs/>
              </w:rPr>
              <w:t>Quantities 2014</w:t>
            </w:r>
          </w:p>
        </w:tc>
      </w:tr>
      <w:tr w:rsidR="004D1044" w:rsidRPr="0074017C" w:rsidTr="004D1044">
        <w:tc>
          <w:tcPr>
            <w:tcW w:w="1206" w:type="pct"/>
            <w:hideMark/>
          </w:tcPr>
          <w:p w:rsidR="004D1044" w:rsidRPr="0074017C" w:rsidRDefault="004D1044" w:rsidP="00DC10CD">
            <w:pPr>
              <w:jc w:val="both"/>
            </w:pPr>
            <w:r w:rsidRPr="0074017C">
              <w:t>Octreotide</w:t>
            </w:r>
          </w:p>
        </w:tc>
        <w:tc>
          <w:tcPr>
            <w:tcW w:w="1206" w:type="pct"/>
            <w:hideMark/>
          </w:tcPr>
          <w:p w:rsidR="004D1044" w:rsidRPr="0074017C" w:rsidRDefault="004D1044" w:rsidP="00DC10CD">
            <w:pPr>
              <w:jc w:val="both"/>
            </w:pPr>
            <w:r w:rsidRPr="0074017C">
              <w:t>30 mg/2,5ml</w:t>
            </w:r>
          </w:p>
        </w:tc>
        <w:tc>
          <w:tcPr>
            <w:tcW w:w="916" w:type="pct"/>
            <w:hideMark/>
          </w:tcPr>
          <w:p w:rsidR="004D1044" w:rsidRPr="0074017C" w:rsidRDefault="004D1044" w:rsidP="00DC10CD">
            <w:pPr>
              <w:jc w:val="both"/>
            </w:pPr>
            <w:r w:rsidRPr="0074017C">
              <w:t xml:space="preserve">         233,603 </w:t>
            </w:r>
          </w:p>
        </w:tc>
        <w:tc>
          <w:tcPr>
            <w:tcW w:w="927" w:type="pct"/>
            <w:hideMark/>
          </w:tcPr>
          <w:p w:rsidR="004D1044" w:rsidRPr="0074017C" w:rsidRDefault="004D1044" w:rsidP="00DC10CD">
            <w:pPr>
              <w:jc w:val="both"/>
            </w:pPr>
            <w:r w:rsidRPr="0074017C">
              <w:t xml:space="preserve">5,840,085 </w:t>
            </w:r>
          </w:p>
        </w:tc>
        <w:tc>
          <w:tcPr>
            <w:tcW w:w="745" w:type="pct"/>
            <w:hideMark/>
          </w:tcPr>
          <w:p w:rsidR="004D1044" w:rsidRPr="0074017C" w:rsidRDefault="004D1044" w:rsidP="00DC10CD">
            <w:pPr>
              <w:jc w:val="both"/>
            </w:pPr>
            <w:r w:rsidRPr="0074017C">
              <w:t xml:space="preserve">25 </w:t>
            </w:r>
          </w:p>
        </w:tc>
      </w:tr>
      <w:tr w:rsidR="004D1044" w:rsidRPr="0074017C" w:rsidTr="004D1044">
        <w:tc>
          <w:tcPr>
            <w:tcW w:w="1206" w:type="pct"/>
            <w:hideMark/>
          </w:tcPr>
          <w:p w:rsidR="004D1044" w:rsidRPr="0074017C" w:rsidRDefault="004D1044" w:rsidP="00DC10CD">
            <w:pPr>
              <w:jc w:val="both"/>
            </w:pPr>
            <w:r w:rsidRPr="0074017C">
              <w:t>Pemetrexed</w:t>
            </w:r>
          </w:p>
        </w:tc>
        <w:tc>
          <w:tcPr>
            <w:tcW w:w="1206" w:type="pct"/>
            <w:hideMark/>
          </w:tcPr>
          <w:p w:rsidR="004D1044" w:rsidRPr="0074017C" w:rsidRDefault="004D1044" w:rsidP="00DC10CD">
            <w:pPr>
              <w:jc w:val="both"/>
            </w:pPr>
            <w:r w:rsidRPr="0074017C">
              <w:t xml:space="preserve">500 mg </w:t>
            </w:r>
          </w:p>
        </w:tc>
        <w:tc>
          <w:tcPr>
            <w:tcW w:w="916" w:type="pct"/>
            <w:hideMark/>
          </w:tcPr>
          <w:p w:rsidR="004D1044" w:rsidRPr="0074017C" w:rsidRDefault="004D1044" w:rsidP="00DC10CD">
            <w:pPr>
              <w:jc w:val="both"/>
            </w:pPr>
            <w:r w:rsidRPr="0074017C">
              <w:t xml:space="preserve">         205,279 </w:t>
            </w:r>
          </w:p>
        </w:tc>
        <w:tc>
          <w:tcPr>
            <w:tcW w:w="927" w:type="pct"/>
            <w:hideMark/>
          </w:tcPr>
          <w:p w:rsidR="004D1044" w:rsidRPr="0074017C" w:rsidRDefault="004D1044" w:rsidP="00DC10CD">
            <w:pPr>
              <w:jc w:val="both"/>
            </w:pPr>
            <w:r w:rsidRPr="0074017C">
              <w:t xml:space="preserve">2,463,349 </w:t>
            </w:r>
          </w:p>
        </w:tc>
        <w:tc>
          <w:tcPr>
            <w:tcW w:w="745" w:type="pct"/>
            <w:hideMark/>
          </w:tcPr>
          <w:p w:rsidR="004D1044" w:rsidRPr="0074017C" w:rsidRDefault="004D1044" w:rsidP="00DC10CD">
            <w:pPr>
              <w:jc w:val="both"/>
            </w:pPr>
            <w:r w:rsidRPr="0074017C">
              <w:t xml:space="preserve">12 </w:t>
            </w:r>
          </w:p>
        </w:tc>
      </w:tr>
      <w:tr w:rsidR="004D1044" w:rsidRPr="0074017C" w:rsidTr="004D1044">
        <w:tc>
          <w:tcPr>
            <w:tcW w:w="1206" w:type="pct"/>
            <w:hideMark/>
          </w:tcPr>
          <w:p w:rsidR="004D1044" w:rsidRPr="0074017C" w:rsidRDefault="004D1044" w:rsidP="00DC10CD">
            <w:pPr>
              <w:jc w:val="both"/>
            </w:pPr>
            <w:r w:rsidRPr="0074017C">
              <w:t xml:space="preserve">Rituximab </w:t>
            </w:r>
          </w:p>
        </w:tc>
        <w:tc>
          <w:tcPr>
            <w:tcW w:w="1206" w:type="pct"/>
            <w:hideMark/>
          </w:tcPr>
          <w:p w:rsidR="004D1044" w:rsidRPr="0074017C" w:rsidRDefault="004D1044" w:rsidP="00DC10CD">
            <w:pPr>
              <w:jc w:val="both"/>
            </w:pPr>
            <w:r w:rsidRPr="0074017C">
              <w:t>500 mg/50ml</w:t>
            </w:r>
          </w:p>
        </w:tc>
        <w:tc>
          <w:tcPr>
            <w:tcW w:w="916" w:type="pct"/>
            <w:hideMark/>
          </w:tcPr>
          <w:p w:rsidR="004D1044" w:rsidRPr="0074017C" w:rsidRDefault="004D1044" w:rsidP="00DC10CD">
            <w:pPr>
              <w:jc w:val="both"/>
            </w:pPr>
            <w:r w:rsidRPr="0074017C">
              <w:t xml:space="preserve">         168,835 </w:t>
            </w:r>
          </w:p>
        </w:tc>
        <w:tc>
          <w:tcPr>
            <w:tcW w:w="927" w:type="pct"/>
            <w:hideMark/>
          </w:tcPr>
          <w:p w:rsidR="004D1044" w:rsidRPr="0074017C" w:rsidRDefault="004D1044" w:rsidP="00DC10CD">
            <w:pPr>
              <w:jc w:val="both"/>
            </w:pPr>
            <w:r w:rsidRPr="0074017C">
              <w:t xml:space="preserve">41,026,804 </w:t>
            </w:r>
          </w:p>
        </w:tc>
        <w:tc>
          <w:tcPr>
            <w:tcW w:w="745" w:type="pct"/>
            <w:hideMark/>
          </w:tcPr>
          <w:p w:rsidR="004D1044" w:rsidRPr="0074017C" w:rsidRDefault="004D1044" w:rsidP="00DC10CD">
            <w:pPr>
              <w:jc w:val="both"/>
            </w:pPr>
            <w:r w:rsidRPr="0074017C">
              <w:t xml:space="preserve">243 </w:t>
            </w:r>
          </w:p>
        </w:tc>
      </w:tr>
      <w:tr w:rsidR="004D1044" w:rsidRPr="0074017C" w:rsidTr="004D1044">
        <w:tc>
          <w:tcPr>
            <w:tcW w:w="1206" w:type="pct"/>
            <w:hideMark/>
          </w:tcPr>
          <w:p w:rsidR="004D1044" w:rsidRPr="0074017C" w:rsidRDefault="004D1044" w:rsidP="00DC10CD">
            <w:pPr>
              <w:jc w:val="both"/>
            </w:pPr>
            <w:r w:rsidRPr="0074017C">
              <w:t>Bevacizumab</w:t>
            </w:r>
          </w:p>
        </w:tc>
        <w:tc>
          <w:tcPr>
            <w:tcW w:w="1206" w:type="pct"/>
            <w:hideMark/>
          </w:tcPr>
          <w:p w:rsidR="004D1044" w:rsidRPr="0074017C" w:rsidRDefault="004D1044" w:rsidP="00DC10CD">
            <w:pPr>
              <w:jc w:val="both"/>
            </w:pPr>
            <w:r w:rsidRPr="0074017C">
              <w:t>400mg/16ml</w:t>
            </w:r>
          </w:p>
        </w:tc>
        <w:tc>
          <w:tcPr>
            <w:tcW w:w="916" w:type="pct"/>
            <w:hideMark/>
          </w:tcPr>
          <w:p w:rsidR="004D1044" w:rsidRPr="0074017C" w:rsidRDefault="004D1044" w:rsidP="00DC10CD">
            <w:pPr>
              <w:jc w:val="both"/>
            </w:pPr>
            <w:r w:rsidRPr="0074017C">
              <w:t xml:space="preserve">         163,628 </w:t>
            </w:r>
          </w:p>
        </w:tc>
        <w:tc>
          <w:tcPr>
            <w:tcW w:w="927" w:type="pct"/>
            <w:hideMark/>
          </w:tcPr>
          <w:p w:rsidR="004D1044" w:rsidRPr="0074017C" w:rsidRDefault="004D1044" w:rsidP="00DC10CD">
            <w:pPr>
              <w:jc w:val="both"/>
            </w:pPr>
            <w:r w:rsidRPr="0074017C">
              <w:t xml:space="preserve">12,108,490 </w:t>
            </w:r>
          </w:p>
        </w:tc>
        <w:tc>
          <w:tcPr>
            <w:tcW w:w="745" w:type="pct"/>
            <w:hideMark/>
          </w:tcPr>
          <w:p w:rsidR="004D1044" w:rsidRPr="0074017C" w:rsidRDefault="004D1044" w:rsidP="00DC10CD">
            <w:pPr>
              <w:jc w:val="both"/>
            </w:pPr>
            <w:r w:rsidRPr="0074017C">
              <w:t xml:space="preserve">74 </w:t>
            </w:r>
          </w:p>
        </w:tc>
      </w:tr>
      <w:tr w:rsidR="004D1044" w:rsidRPr="0074017C" w:rsidTr="004D1044">
        <w:tc>
          <w:tcPr>
            <w:tcW w:w="1206" w:type="pct"/>
            <w:hideMark/>
          </w:tcPr>
          <w:p w:rsidR="004D1044" w:rsidRPr="0074017C" w:rsidRDefault="004D1044" w:rsidP="00DC10CD">
            <w:pPr>
              <w:jc w:val="both"/>
            </w:pPr>
            <w:r w:rsidRPr="0074017C">
              <w:t>Bortezomib</w:t>
            </w:r>
          </w:p>
        </w:tc>
        <w:tc>
          <w:tcPr>
            <w:tcW w:w="1206" w:type="pct"/>
            <w:hideMark/>
          </w:tcPr>
          <w:p w:rsidR="004D1044" w:rsidRPr="0074017C" w:rsidRDefault="004D1044" w:rsidP="00DC10CD">
            <w:pPr>
              <w:jc w:val="both"/>
            </w:pPr>
            <w:r w:rsidRPr="0074017C">
              <w:t xml:space="preserve"> 3,5 mg</w:t>
            </w:r>
          </w:p>
        </w:tc>
        <w:tc>
          <w:tcPr>
            <w:tcW w:w="916" w:type="pct"/>
            <w:hideMark/>
          </w:tcPr>
          <w:p w:rsidR="004D1044" w:rsidRPr="0074017C" w:rsidRDefault="004D1044" w:rsidP="00DC10CD">
            <w:pPr>
              <w:jc w:val="both"/>
            </w:pPr>
            <w:r w:rsidRPr="0074017C">
              <w:t xml:space="preserve">         140,988 </w:t>
            </w:r>
          </w:p>
        </w:tc>
        <w:tc>
          <w:tcPr>
            <w:tcW w:w="927" w:type="pct"/>
            <w:hideMark/>
          </w:tcPr>
          <w:p w:rsidR="004D1044" w:rsidRPr="0074017C" w:rsidRDefault="004D1044" w:rsidP="00DC10CD">
            <w:pPr>
              <w:jc w:val="both"/>
            </w:pPr>
            <w:r w:rsidRPr="0074017C">
              <w:t xml:space="preserve">28,197,613 </w:t>
            </w:r>
          </w:p>
        </w:tc>
        <w:tc>
          <w:tcPr>
            <w:tcW w:w="745" w:type="pct"/>
            <w:hideMark/>
          </w:tcPr>
          <w:p w:rsidR="004D1044" w:rsidRPr="0074017C" w:rsidRDefault="004D1044" w:rsidP="00DC10CD">
            <w:pPr>
              <w:jc w:val="both"/>
            </w:pPr>
            <w:r w:rsidRPr="0074017C">
              <w:t xml:space="preserve">200 </w:t>
            </w:r>
          </w:p>
        </w:tc>
      </w:tr>
      <w:tr w:rsidR="004D1044" w:rsidRPr="0074017C" w:rsidTr="004D1044">
        <w:tc>
          <w:tcPr>
            <w:tcW w:w="1206" w:type="pct"/>
            <w:hideMark/>
          </w:tcPr>
          <w:p w:rsidR="004D1044" w:rsidRPr="0074017C" w:rsidRDefault="004D1044" w:rsidP="00DC10CD">
            <w:pPr>
              <w:jc w:val="both"/>
            </w:pPr>
            <w:r w:rsidRPr="0074017C">
              <w:t xml:space="preserve">Infliximab </w:t>
            </w:r>
          </w:p>
        </w:tc>
        <w:tc>
          <w:tcPr>
            <w:tcW w:w="1206" w:type="pct"/>
            <w:hideMark/>
          </w:tcPr>
          <w:p w:rsidR="004D1044" w:rsidRPr="0074017C" w:rsidRDefault="004D1044" w:rsidP="00DC10CD">
            <w:pPr>
              <w:jc w:val="both"/>
            </w:pPr>
            <w:r w:rsidRPr="0074017C">
              <w:t>100 mg</w:t>
            </w:r>
          </w:p>
        </w:tc>
        <w:tc>
          <w:tcPr>
            <w:tcW w:w="916" w:type="pct"/>
            <w:noWrap/>
            <w:hideMark/>
          </w:tcPr>
          <w:p w:rsidR="004D1044" w:rsidRPr="0074017C" w:rsidRDefault="004D1044" w:rsidP="00DC10CD">
            <w:pPr>
              <w:jc w:val="both"/>
            </w:pPr>
            <w:r w:rsidRPr="0074017C">
              <w:t xml:space="preserve">         112,617 </w:t>
            </w:r>
          </w:p>
        </w:tc>
        <w:tc>
          <w:tcPr>
            <w:tcW w:w="927" w:type="pct"/>
            <w:hideMark/>
          </w:tcPr>
          <w:p w:rsidR="004D1044" w:rsidRPr="0074017C" w:rsidRDefault="004D1044" w:rsidP="00DC10CD">
            <w:pPr>
              <w:jc w:val="both"/>
            </w:pPr>
            <w:r w:rsidRPr="0074017C">
              <w:t xml:space="preserve">1,801,876 </w:t>
            </w:r>
          </w:p>
        </w:tc>
        <w:tc>
          <w:tcPr>
            <w:tcW w:w="745" w:type="pct"/>
            <w:hideMark/>
          </w:tcPr>
          <w:p w:rsidR="004D1044" w:rsidRPr="0074017C" w:rsidRDefault="004D1044" w:rsidP="00DC10CD">
            <w:pPr>
              <w:jc w:val="both"/>
            </w:pPr>
            <w:r w:rsidRPr="0074017C">
              <w:t xml:space="preserve">16 </w:t>
            </w:r>
          </w:p>
        </w:tc>
      </w:tr>
      <w:tr w:rsidR="004D1044" w:rsidRPr="0074017C" w:rsidTr="004D1044">
        <w:tc>
          <w:tcPr>
            <w:tcW w:w="1206" w:type="pct"/>
            <w:hideMark/>
          </w:tcPr>
          <w:p w:rsidR="004D1044" w:rsidRPr="0074017C" w:rsidRDefault="004D1044" w:rsidP="00DC10CD">
            <w:pPr>
              <w:jc w:val="both"/>
            </w:pPr>
            <w:r w:rsidRPr="0074017C">
              <w:t>Adalimumab</w:t>
            </w:r>
          </w:p>
        </w:tc>
        <w:tc>
          <w:tcPr>
            <w:tcW w:w="1206" w:type="pct"/>
            <w:hideMark/>
          </w:tcPr>
          <w:p w:rsidR="004D1044" w:rsidRPr="0074017C" w:rsidRDefault="004D1044" w:rsidP="00DC10CD">
            <w:pPr>
              <w:jc w:val="both"/>
            </w:pPr>
            <w:r w:rsidRPr="0074017C">
              <w:t>40 mg</w:t>
            </w:r>
          </w:p>
        </w:tc>
        <w:tc>
          <w:tcPr>
            <w:tcW w:w="916" w:type="pct"/>
            <w:hideMark/>
          </w:tcPr>
          <w:p w:rsidR="004D1044" w:rsidRPr="0074017C" w:rsidRDefault="004D1044" w:rsidP="00DC10CD">
            <w:pPr>
              <w:jc w:val="both"/>
            </w:pPr>
            <w:r w:rsidRPr="0074017C">
              <w:t xml:space="preserve">           81,325 </w:t>
            </w:r>
          </w:p>
        </w:tc>
        <w:tc>
          <w:tcPr>
            <w:tcW w:w="927" w:type="pct"/>
            <w:hideMark/>
          </w:tcPr>
          <w:p w:rsidR="004D1044" w:rsidRPr="0074017C" w:rsidRDefault="004D1044" w:rsidP="00DC10CD">
            <w:pPr>
              <w:jc w:val="both"/>
            </w:pPr>
            <w:r w:rsidRPr="0074017C">
              <w:t xml:space="preserve">2,927,691 </w:t>
            </w:r>
          </w:p>
        </w:tc>
        <w:tc>
          <w:tcPr>
            <w:tcW w:w="745" w:type="pct"/>
            <w:hideMark/>
          </w:tcPr>
          <w:p w:rsidR="004D1044" w:rsidRPr="0074017C" w:rsidRDefault="004D1044" w:rsidP="00DC10CD">
            <w:pPr>
              <w:jc w:val="both"/>
            </w:pPr>
            <w:r w:rsidRPr="0074017C">
              <w:t xml:space="preserve">36 </w:t>
            </w:r>
          </w:p>
        </w:tc>
      </w:tr>
      <w:tr w:rsidR="004D1044" w:rsidRPr="0074017C" w:rsidTr="004D1044">
        <w:tc>
          <w:tcPr>
            <w:tcW w:w="1206" w:type="pct"/>
            <w:hideMark/>
          </w:tcPr>
          <w:p w:rsidR="004D1044" w:rsidRPr="0074017C" w:rsidRDefault="004D1044" w:rsidP="00DC10CD">
            <w:pPr>
              <w:jc w:val="both"/>
            </w:pPr>
            <w:r w:rsidRPr="0074017C">
              <w:t>Trastuzumab</w:t>
            </w:r>
          </w:p>
        </w:tc>
        <w:tc>
          <w:tcPr>
            <w:tcW w:w="1206" w:type="pct"/>
            <w:hideMark/>
          </w:tcPr>
          <w:p w:rsidR="004D1044" w:rsidRPr="0074017C" w:rsidRDefault="004D1044" w:rsidP="00DC10CD">
            <w:pPr>
              <w:jc w:val="both"/>
            </w:pPr>
            <w:r w:rsidRPr="0074017C">
              <w:t>150 mg</w:t>
            </w:r>
          </w:p>
        </w:tc>
        <w:tc>
          <w:tcPr>
            <w:tcW w:w="916" w:type="pct"/>
            <w:hideMark/>
          </w:tcPr>
          <w:p w:rsidR="004D1044" w:rsidRPr="0074017C" w:rsidRDefault="004D1044" w:rsidP="00DC10CD">
            <w:pPr>
              <w:jc w:val="both"/>
            </w:pPr>
            <w:r w:rsidRPr="0074017C">
              <w:t xml:space="preserve">           77,352 </w:t>
            </w:r>
          </w:p>
        </w:tc>
        <w:tc>
          <w:tcPr>
            <w:tcW w:w="927" w:type="pct"/>
            <w:hideMark/>
          </w:tcPr>
          <w:p w:rsidR="004D1044" w:rsidRPr="0074017C" w:rsidRDefault="004D1044" w:rsidP="00DC10CD">
            <w:pPr>
              <w:jc w:val="both"/>
            </w:pPr>
            <w:r w:rsidRPr="0074017C">
              <w:t xml:space="preserve">145,498,265 </w:t>
            </w:r>
          </w:p>
        </w:tc>
        <w:tc>
          <w:tcPr>
            <w:tcW w:w="745" w:type="pct"/>
            <w:hideMark/>
          </w:tcPr>
          <w:p w:rsidR="004D1044" w:rsidRPr="0074017C" w:rsidRDefault="004D1044" w:rsidP="00DC10CD">
            <w:pPr>
              <w:jc w:val="both"/>
            </w:pPr>
            <w:r w:rsidRPr="0074017C">
              <w:t xml:space="preserve">1,881 </w:t>
            </w:r>
          </w:p>
        </w:tc>
      </w:tr>
      <w:tr w:rsidR="004D1044" w:rsidRPr="0074017C" w:rsidTr="004D1044">
        <w:tc>
          <w:tcPr>
            <w:tcW w:w="1206" w:type="pct"/>
            <w:hideMark/>
          </w:tcPr>
          <w:p w:rsidR="004D1044" w:rsidRPr="0074017C" w:rsidRDefault="004D1044" w:rsidP="00DC10CD">
            <w:pPr>
              <w:jc w:val="both"/>
            </w:pPr>
            <w:r w:rsidRPr="0074017C">
              <w:t>Reteplase</w:t>
            </w:r>
          </w:p>
        </w:tc>
        <w:tc>
          <w:tcPr>
            <w:tcW w:w="1206" w:type="pct"/>
            <w:hideMark/>
          </w:tcPr>
          <w:p w:rsidR="004D1044" w:rsidRPr="0074017C" w:rsidRDefault="004D1044" w:rsidP="00DC10CD">
            <w:pPr>
              <w:jc w:val="both"/>
            </w:pPr>
            <w:r w:rsidRPr="0074017C">
              <w:t>10 UI</w:t>
            </w:r>
          </w:p>
        </w:tc>
        <w:tc>
          <w:tcPr>
            <w:tcW w:w="916" w:type="pct"/>
            <w:noWrap/>
            <w:hideMark/>
          </w:tcPr>
          <w:p w:rsidR="004D1044" w:rsidRPr="0074017C" w:rsidRDefault="004D1044" w:rsidP="00DC10CD">
            <w:pPr>
              <w:jc w:val="both"/>
            </w:pPr>
            <w:r w:rsidRPr="0074017C">
              <w:t xml:space="preserve">           52,064 </w:t>
            </w:r>
          </w:p>
        </w:tc>
        <w:tc>
          <w:tcPr>
            <w:tcW w:w="927" w:type="pct"/>
            <w:hideMark/>
          </w:tcPr>
          <w:p w:rsidR="004D1044" w:rsidRPr="0074017C" w:rsidRDefault="004D1044" w:rsidP="00DC10CD">
            <w:pPr>
              <w:jc w:val="both"/>
            </w:pPr>
            <w:r w:rsidRPr="0074017C">
              <w:t xml:space="preserve">2,603,177 </w:t>
            </w:r>
          </w:p>
        </w:tc>
        <w:tc>
          <w:tcPr>
            <w:tcW w:w="745" w:type="pct"/>
            <w:hideMark/>
          </w:tcPr>
          <w:p w:rsidR="004D1044" w:rsidRPr="0074017C" w:rsidRDefault="004D1044" w:rsidP="00DC10CD">
            <w:pPr>
              <w:jc w:val="both"/>
            </w:pPr>
            <w:r w:rsidRPr="0074017C">
              <w:t xml:space="preserve">50 </w:t>
            </w:r>
          </w:p>
        </w:tc>
      </w:tr>
      <w:tr w:rsidR="004D1044" w:rsidRPr="0074017C" w:rsidTr="004D1044">
        <w:tc>
          <w:tcPr>
            <w:tcW w:w="1206" w:type="pct"/>
            <w:hideMark/>
          </w:tcPr>
          <w:p w:rsidR="004D1044" w:rsidRPr="0074017C" w:rsidRDefault="004D1044" w:rsidP="00DC10CD">
            <w:pPr>
              <w:jc w:val="both"/>
            </w:pPr>
            <w:r w:rsidRPr="0074017C">
              <w:t xml:space="preserve">Recombinant Factor IX </w:t>
            </w:r>
          </w:p>
        </w:tc>
        <w:tc>
          <w:tcPr>
            <w:tcW w:w="1206" w:type="pct"/>
            <w:hideMark/>
          </w:tcPr>
          <w:p w:rsidR="004D1044" w:rsidRPr="0074017C" w:rsidRDefault="004D1044" w:rsidP="00DC10CD">
            <w:pPr>
              <w:jc w:val="both"/>
            </w:pPr>
            <w:r w:rsidRPr="0074017C">
              <w:t>250UI</w:t>
            </w:r>
          </w:p>
        </w:tc>
        <w:tc>
          <w:tcPr>
            <w:tcW w:w="916" w:type="pct"/>
            <w:noWrap/>
            <w:hideMark/>
          </w:tcPr>
          <w:p w:rsidR="004D1044" w:rsidRPr="0074017C" w:rsidRDefault="004D1044" w:rsidP="00DC10CD">
            <w:pPr>
              <w:jc w:val="both"/>
            </w:pPr>
            <w:r w:rsidRPr="0074017C">
              <w:t xml:space="preserve">           42,716 </w:t>
            </w:r>
          </w:p>
        </w:tc>
        <w:tc>
          <w:tcPr>
            <w:tcW w:w="927" w:type="pct"/>
            <w:hideMark/>
          </w:tcPr>
          <w:p w:rsidR="004D1044" w:rsidRPr="0074017C" w:rsidRDefault="004D1044" w:rsidP="00DC10CD">
            <w:pPr>
              <w:jc w:val="both"/>
            </w:pPr>
            <w:r w:rsidRPr="0074017C">
              <w:t xml:space="preserve">3,417,317 </w:t>
            </w:r>
          </w:p>
        </w:tc>
        <w:tc>
          <w:tcPr>
            <w:tcW w:w="745" w:type="pct"/>
            <w:hideMark/>
          </w:tcPr>
          <w:p w:rsidR="004D1044" w:rsidRPr="0074017C" w:rsidRDefault="004D1044" w:rsidP="00DC10CD">
            <w:pPr>
              <w:jc w:val="both"/>
            </w:pPr>
            <w:r w:rsidRPr="0074017C">
              <w:t xml:space="preserve">80 </w:t>
            </w:r>
          </w:p>
        </w:tc>
      </w:tr>
      <w:tr w:rsidR="004D1044" w:rsidRPr="0074017C" w:rsidTr="004D1044">
        <w:tc>
          <w:tcPr>
            <w:tcW w:w="1206" w:type="pct"/>
            <w:hideMark/>
          </w:tcPr>
          <w:p w:rsidR="004D1044" w:rsidRPr="0074017C" w:rsidRDefault="004D1044" w:rsidP="00DC10CD">
            <w:pPr>
              <w:jc w:val="both"/>
            </w:pPr>
            <w:r w:rsidRPr="0074017C">
              <w:t>Topotecan</w:t>
            </w:r>
          </w:p>
        </w:tc>
        <w:tc>
          <w:tcPr>
            <w:tcW w:w="1206" w:type="pct"/>
            <w:hideMark/>
          </w:tcPr>
          <w:p w:rsidR="004D1044" w:rsidRPr="0074017C" w:rsidRDefault="004D1044" w:rsidP="00DC10CD">
            <w:pPr>
              <w:jc w:val="both"/>
            </w:pPr>
            <w:r w:rsidRPr="0074017C">
              <w:t>4 mg</w:t>
            </w:r>
          </w:p>
        </w:tc>
        <w:tc>
          <w:tcPr>
            <w:tcW w:w="916" w:type="pct"/>
            <w:hideMark/>
          </w:tcPr>
          <w:p w:rsidR="004D1044" w:rsidRPr="0074017C" w:rsidRDefault="004D1044" w:rsidP="00DC10CD">
            <w:pPr>
              <w:jc w:val="both"/>
            </w:pPr>
            <w:r w:rsidRPr="0074017C">
              <w:t xml:space="preserve">           37,188 </w:t>
            </w:r>
          </w:p>
        </w:tc>
        <w:tc>
          <w:tcPr>
            <w:tcW w:w="927" w:type="pct"/>
            <w:hideMark/>
          </w:tcPr>
          <w:p w:rsidR="004D1044" w:rsidRPr="0074017C" w:rsidRDefault="004D1044" w:rsidP="00DC10CD">
            <w:pPr>
              <w:jc w:val="both"/>
            </w:pPr>
            <w:r w:rsidRPr="0074017C">
              <w:t xml:space="preserve">185,941 </w:t>
            </w:r>
          </w:p>
        </w:tc>
        <w:tc>
          <w:tcPr>
            <w:tcW w:w="745" w:type="pct"/>
            <w:hideMark/>
          </w:tcPr>
          <w:p w:rsidR="004D1044" w:rsidRPr="0074017C" w:rsidRDefault="004D1044" w:rsidP="00DC10CD">
            <w:pPr>
              <w:jc w:val="both"/>
            </w:pPr>
            <w:r w:rsidRPr="0074017C">
              <w:t xml:space="preserve">5 </w:t>
            </w:r>
          </w:p>
        </w:tc>
      </w:tr>
      <w:tr w:rsidR="004D1044" w:rsidRPr="0074017C" w:rsidTr="004D1044">
        <w:tc>
          <w:tcPr>
            <w:tcW w:w="1206" w:type="pct"/>
            <w:hideMark/>
          </w:tcPr>
          <w:p w:rsidR="004D1044" w:rsidRPr="0074017C" w:rsidRDefault="004D1044" w:rsidP="00DC10CD">
            <w:pPr>
              <w:jc w:val="both"/>
            </w:pPr>
            <w:r w:rsidRPr="0074017C">
              <w:t>Etanercept</w:t>
            </w:r>
          </w:p>
        </w:tc>
        <w:tc>
          <w:tcPr>
            <w:tcW w:w="1206" w:type="pct"/>
            <w:hideMark/>
          </w:tcPr>
          <w:p w:rsidR="004D1044" w:rsidRPr="0074017C" w:rsidRDefault="004D1044" w:rsidP="00DC10CD">
            <w:pPr>
              <w:jc w:val="both"/>
            </w:pPr>
            <w:r w:rsidRPr="0074017C">
              <w:t>50 mg</w:t>
            </w:r>
          </w:p>
        </w:tc>
        <w:tc>
          <w:tcPr>
            <w:tcW w:w="916" w:type="pct"/>
            <w:hideMark/>
          </w:tcPr>
          <w:p w:rsidR="004D1044" w:rsidRPr="0074017C" w:rsidRDefault="004D1044" w:rsidP="00DC10CD">
            <w:pPr>
              <w:jc w:val="both"/>
            </w:pPr>
            <w:r w:rsidRPr="0074017C">
              <w:t xml:space="preserve">           34,486 </w:t>
            </w:r>
          </w:p>
        </w:tc>
        <w:tc>
          <w:tcPr>
            <w:tcW w:w="927" w:type="pct"/>
            <w:hideMark/>
          </w:tcPr>
          <w:p w:rsidR="004D1044" w:rsidRPr="0074017C" w:rsidRDefault="004D1044" w:rsidP="00DC10CD">
            <w:pPr>
              <w:jc w:val="both"/>
            </w:pPr>
            <w:r w:rsidRPr="0074017C">
              <w:t xml:space="preserve">24,140,043 </w:t>
            </w:r>
          </w:p>
        </w:tc>
        <w:tc>
          <w:tcPr>
            <w:tcW w:w="745" w:type="pct"/>
            <w:hideMark/>
          </w:tcPr>
          <w:p w:rsidR="004D1044" w:rsidRPr="0074017C" w:rsidRDefault="004D1044" w:rsidP="00DC10CD">
            <w:pPr>
              <w:jc w:val="both"/>
            </w:pPr>
            <w:r w:rsidRPr="0074017C">
              <w:t xml:space="preserve">700 </w:t>
            </w:r>
          </w:p>
        </w:tc>
      </w:tr>
      <w:tr w:rsidR="004D1044" w:rsidRPr="0074017C" w:rsidTr="004D1044">
        <w:tc>
          <w:tcPr>
            <w:tcW w:w="1206" w:type="pct"/>
            <w:hideMark/>
          </w:tcPr>
          <w:p w:rsidR="004D1044" w:rsidRPr="0074017C" w:rsidRDefault="004D1044" w:rsidP="00DC10CD">
            <w:pPr>
              <w:jc w:val="both"/>
            </w:pPr>
            <w:r w:rsidRPr="0074017C">
              <w:t>Gosereline</w:t>
            </w:r>
          </w:p>
        </w:tc>
        <w:tc>
          <w:tcPr>
            <w:tcW w:w="1206" w:type="pct"/>
            <w:hideMark/>
          </w:tcPr>
          <w:p w:rsidR="004D1044" w:rsidRPr="0074017C" w:rsidRDefault="004D1044" w:rsidP="00DC10CD">
            <w:pPr>
              <w:jc w:val="both"/>
            </w:pPr>
            <w:r w:rsidRPr="0074017C">
              <w:t>10.8 mg</w:t>
            </w:r>
          </w:p>
        </w:tc>
        <w:tc>
          <w:tcPr>
            <w:tcW w:w="916" w:type="pct"/>
            <w:hideMark/>
          </w:tcPr>
          <w:p w:rsidR="004D1044" w:rsidRPr="0074017C" w:rsidRDefault="004D1044" w:rsidP="00DC10CD">
            <w:pPr>
              <w:jc w:val="both"/>
            </w:pPr>
            <w:r w:rsidRPr="0074017C">
              <w:t xml:space="preserve">           32,070 </w:t>
            </w:r>
          </w:p>
        </w:tc>
        <w:tc>
          <w:tcPr>
            <w:tcW w:w="927" w:type="pct"/>
            <w:hideMark/>
          </w:tcPr>
          <w:p w:rsidR="004D1044" w:rsidRPr="0074017C" w:rsidRDefault="004D1044" w:rsidP="00DC10CD">
            <w:pPr>
              <w:jc w:val="both"/>
            </w:pPr>
            <w:r w:rsidRPr="0074017C">
              <w:t xml:space="preserve">1,763,831 </w:t>
            </w:r>
          </w:p>
        </w:tc>
        <w:tc>
          <w:tcPr>
            <w:tcW w:w="745" w:type="pct"/>
            <w:hideMark/>
          </w:tcPr>
          <w:p w:rsidR="004D1044" w:rsidRPr="0074017C" w:rsidRDefault="004D1044" w:rsidP="00DC10CD">
            <w:pPr>
              <w:jc w:val="both"/>
            </w:pPr>
            <w:r w:rsidRPr="0074017C">
              <w:t xml:space="preserve">55 </w:t>
            </w:r>
          </w:p>
        </w:tc>
      </w:tr>
      <w:tr w:rsidR="004D1044" w:rsidRPr="0074017C" w:rsidTr="004D1044">
        <w:tc>
          <w:tcPr>
            <w:tcW w:w="1206" w:type="pct"/>
            <w:hideMark/>
          </w:tcPr>
          <w:p w:rsidR="004D1044" w:rsidRPr="0074017C" w:rsidRDefault="004D1044" w:rsidP="00DC10CD">
            <w:pPr>
              <w:jc w:val="both"/>
            </w:pPr>
            <w:r w:rsidRPr="0074017C">
              <w:t xml:space="preserve">Rituximab </w:t>
            </w:r>
          </w:p>
        </w:tc>
        <w:tc>
          <w:tcPr>
            <w:tcW w:w="1206" w:type="pct"/>
            <w:hideMark/>
          </w:tcPr>
          <w:p w:rsidR="004D1044" w:rsidRPr="0074017C" w:rsidRDefault="004D1044" w:rsidP="00DC10CD">
            <w:pPr>
              <w:jc w:val="both"/>
            </w:pPr>
            <w:r w:rsidRPr="0074017C">
              <w:t>100mg/10ml</w:t>
            </w:r>
          </w:p>
        </w:tc>
        <w:tc>
          <w:tcPr>
            <w:tcW w:w="916" w:type="pct"/>
            <w:noWrap/>
            <w:hideMark/>
          </w:tcPr>
          <w:p w:rsidR="004D1044" w:rsidRPr="0074017C" w:rsidRDefault="004D1044" w:rsidP="00DC10CD">
            <w:pPr>
              <w:jc w:val="both"/>
            </w:pPr>
            <w:r w:rsidRPr="0074017C">
              <w:t xml:space="preserve">           31,982 </w:t>
            </w:r>
          </w:p>
        </w:tc>
        <w:tc>
          <w:tcPr>
            <w:tcW w:w="927" w:type="pct"/>
            <w:hideMark/>
          </w:tcPr>
          <w:p w:rsidR="004D1044" w:rsidRPr="0074017C" w:rsidRDefault="004D1044" w:rsidP="00DC10CD">
            <w:pPr>
              <w:jc w:val="both"/>
            </w:pPr>
            <w:r w:rsidRPr="0074017C">
              <w:t xml:space="preserve">2,558,551 </w:t>
            </w:r>
          </w:p>
        </w:tc>
        <w:tc>
          <w:tcPr>
            <w:tcW w:w="745" w:type="pct"/>
            <w:hideMark/>
          </w:tcPr>
          <w:p w:rsidR="004D1044" w:rsidRPr="0074017C" w:rsidRDefault="004D1044" w:rsidP="00DC10CD">
            <w:pPr>
              <w:jc w:val="both"/>
            </w:pPr>
            <w:r w:rsidRPr="0074017C">
              <w:t xml:space="preserve">80 </w:t>
            </w:r>
          </w:p>
        </w:tc>
      </w:tr>
      <w:tr w:rsidR="004D1044" w:rsidRPr="0074017C" w:rsidTr="004D1044">
        <w:tc>
          <w:tcPr>
            <w:tcW w:w="1206" w:type="pct"/>
            <w:hideMark/>
          </w:tcPr>
          <w:p w:rsidR="004D1044" w:rsidRPr="0074017C" w:rsidRDefault="004D1044" w:rsidP="00DC10CD">
            <w:pPr>
              <w:jc w:val="both"/>
            </w:pPr>
            <w:r w:rsidRPr="0074017C">
              <w:t>Amphotericine B</w:t>
            </w:r>
          </w:p>
        </w:tc>
        <w:tc>
          <w:tcPr>
            <w:tcW w:w="1206" w:type="pct"/>
            <w:hideMark/>
          </w:tcPr>
          <w:p w:rsidR="004D1044" w:rsidRPr="0074017C" w:rsidRDefault="004D1044" w:rsidP="00DC10CD">
            <w:pPr>
              <w:jc w:val="both"/>
            </w:pPr>
            <w:r w:rsidRPr="0074017C">
              <w:t>50mg/20ml liposomale</w:t>
            </w:r>
          </w:p>
        </w:tc>
        <w:tc>
          <w:tcPr>
            <w:tcW w:w="916" w:type="pct"/>
            <w:hideMark/>
          </w:tcPr>
          <w:p w:rsidR="004D1044" w:rsidRPr="0074017C" w:rsidRDefault="004D1044" w:rsidP="00DC10CD">
            <w:pPr>
              <w:jc w:val="both"/>
            </w:pPr>
            <w:r w:rsidRPr="0074017C">
              <w:t xml:space="preserve">           28,623 </w:t>
            </w:r>
          </w:p>
        </w:tc>
        <w:tc>
          <w:tcPr>
            <w:tcW w:w="927" w:type="pct"/>
            <w:hideMark/>
          </w:tcPr>
          <w:p w:rsidR="004D1044" w:rsidRPr="0074017C" w:rsidRDefault="004D1044" w:rsidP="00DC10CD">
            <w:pPr>
              <w:jc w:val="both"/>
            </w:pPr>
            <w:r w:rsidRPr="0074017C">
              <w:t xml:space="preserve">4,293,457 </w:t>
            </w:r>
          </w:p>
        </w:tc>
        <w:tc>
          <w:tcPr>
            <w:tcW w:w="745" w:type="pct"/>
            <w:hideMark/>
          </w:tcPr>
          <w:p w:rsidR="004D1044" w:rsidRPr="0074017C" w:rsidRDefault="004D1044" w:rsidP="00DC10CD">
            <w:pPr>
              <w:jc w:val="both"/>
            </w:pPr>
            <w:r w:rsidRPr="0074017C">
              <w:t xml:space="preserve">150 </w:t>
            </w:r>
          </w:p>
        </w:tc>
      </w:tr>
    </w:tbl>
    <w:p w:rsidR="001C5BB8" w:rsidRPr="0074017C" w:rsidRDefault="001C5BB8" w:rsidP="00DC10CD">
      <w:pPr>
        <w:spacing w:after="0" w:line="240" w:lineRule="auto"/>
        <w:jc w:val="both"/>
        <w:rPr>
          <w:b/>
        </w:rPr>
      </w:pPr>
    </w:p>
    <w:p w:rsidR="00865E3B" w:rsidRPr="0074017C" w:rsidRDefault="00865E3B" w:rsidP="00DC10CD">
      <w:pPr>
        <w:spacing w:after="0" w:line="240" w:lineRule="auto"/>
        <w:jc w:val="both"/>
        <w:rPr>
          <w:b/>
        </w:rPr>
      </w:pPr>
    </w:p>
    <w:p w:rsidR="00175BB4" w:rsidRPr="0074017C" w:rsidRDefault="00175BB4" w:rsidP="00DC10CD">
      <w:pPr>
        <w:spacing w:after="0" w:line="240" w:lineRule="auto"/>
        <w:jc w:val="both"/>
        <w:rPr>
          <w:b/>
        </w:rPr>
      </w:pPr>
    </w:p>
    <w:p w:rsidR="00175BB4" w:rsidRPr="0074017C" w:rsidRDefault="00175BB4" w:rsidP="00DC10CD">
      <w:pPr>
        <w:pStyle w:val="Heading3"/>
        <w:spacing w:before="0" w:line="240" w:lineRule="auto"/>
      </w:pPr>
      <w:bookmarkStart w:id="19" w:name="_Toc391556317"/>
      <w:r w:rsidRPr="0074017C">
        <w:t>Price comparisons to Croatia, Serbia and FYR Macedonia</w:t>
      </w:r>
      <w:bookmarkEnd w:id="19"/>
    </w:p>
    <w:p w:rsidR="00175BB4" w:rsidRPr="0074017C" w:rsidRDefault="00175BB4" w:rsidP="00DC10CD">
      <w:pPr>
        <w:spacing w:after="0" w:line="240" w:lineRule="auto"/>
        <w:jc w:val="both"/>
        <w:rPr>
          <w:b/>
        </w:rPr>
      </w:pPr>
    </w:p>
    <w:p w:rsidR="00731DF1" w:rsidRPr="0074017C" w:rsidRDefault="00731DF1" w:rsidP="00DC10CD">
      <w:pPr>
        <w:spacing w:after="0" w:line="240" w:lineRule="auto"/>
        <w:jc w:val="both"/>
      </w:pPr>
      <w:r w:rsidRPr="0074017C">
        <w:t xml:space="preserve">Table </w:t>
      </w:r>
      <w:r w:rsidR="00D076D5" w:rsidRPr="0074017C">
        <w:t>21</w:t>
      </w:r>
      <w:r w:rsidRPr="0074017C">
        <w:t xml:space="preserve"> compares prices of 5 most expensive medicines from the hospital list between Albania, Croatia, Serbia and FYR Macedonia. Again, it should be noted that as Croatia widely implemented managed entry </w:t>
      </w:r>
      <w:r w:rsidRPr="0074017C">
        <w:lastRenderedPageBreak/>
        <w:t xml:space="preserve">agreements and financial discounts and discounts in stock as early as 2009, Croatian </w:t>
      </w:r>
      <w:r w:rsidR="00E56C6D" w:rsidRPr="0074017C">
        <w:t xml:space="preserve">published </w:t>
      </w:r>
      <w:r w:rsidRPr="0074017C">
        <w:t xml:space="preserve">prices do not reflect what is actually being paid for. </w:t>
      </w:r>
    </w:p>
    <w:p w:rsidR="00731DF1" w:rsidRPr="0074017C" w:rsidRDefault="00731DF1" w:rsidP="00DC10CD">
      <w:pPr>
        <w:tabs>
          <w:tab w:val="left" w:pos="1340"/>
        </w:tabs>
        <w:spacing w:after="0" w:line="240" w:lineRule="auto"/>
        <w:jc w:val="both"/>
      </w:pPr>
      <w:r w:rsidRPr="0074017C">
        <w:tab/>
      </w:r>
    </w:p>
    <w:p w:rsidR="00731DF1" w:rsidRPr="0074017C" w:rsidRDefault="00731DF1" w:rsidP="00DC10CD">
      <w:pPr>
        <w:spacing w:after="0" w:line="240" w:lineRule="auto"/>
        <w:jc w:val="both"/>
      </w:pPr>
      <w:r w:rsidRPr="0074017C">
        <w:t>Exchange rates used:</w:t>
      </w:r>
    </w:p>
    <w:p w:rsidR="00731DF1" w:rsidRPr="0074017C" w:rsidRDefault="00731DF1" w:rsidP="00DC10CD">
      <w:pPr>
        <w:spacing w:after="0" w:line="240" w:lineRule="auto"/>
        <w:jc w:val="both"/>
      </w:pPr>
      <w:r w:rsidRPr="0074017C">
        <w:t>Bank of Albania, 21 May 2014</w:t>
      </w:r>
      <w:r w:rsidRPr="0074017C">
        <w:rPr>
          <w:rStyle w:val="FootnoteReference"/>
        </w:rPr>
        <w:footnoteReference w:id="23"/>
      </w:r>
      <w:r w:rsidRPr="0074017C">
        <w:t>; 1USD= 102,17 LEK</w:t>
      </w:r>
    </w:p>
    <w:p w:rsidR="00731DF1" w:rsidRPr="0074017C" w:rsidRDefault="00731DF1" w:rsidP="00DC10CD">
      <w:pPr>
        <w:spacing w:after="0" w:line="240" w:lineRule="auto"/>
        <w:jc w:val="both"/>
      </w:pPr>
      <w:r w:rsidRPr="0074017C">
        <w:t>Croatian National Bank</w:t>
      </w:r>
      <w:r w:rsidRPr="0074017C">
        <w:rPr>
          <w:rStyle w:val="FootnoteReference"/>
        </w:rPr>
        <w:footnoteReference w:id="24"/>
      </w:r>
      <w:r w:rsidRPr="0074017C">
        <w:t xml:space="preserve">, 21 May 2014; 1 USD= 5,54 HRK </w:t>
      </w:r>
    </w:p>
    <w:p w:rsidR="00731DF1" w:rsidRPr="0074017C" w:rsidRDefault="00731DF1" w:rsidP="00DC10CD">
      <w:pPr>
        <w:spacing w:after="0" w:line="240" w:lineRule="auto"/>
        <w:jc w:val="both"/>
      </w:pPr>
      <w:r w:rsidRPr="0074017C">
        <w:t>Serbian National Bank</w:t>
      </w:r>
      <w:r w:rsidRPr="0074017C">
        <w:rPr>
          <w:rStyle w:val="FootnoteReference"/>
        </w:rPr>
        <w:footnoteReference w:id="25"/>
      </w:r>
      <w:r w:rsidRPr="0074017C">
        <w:t>, 21 May, 2014; 1 USD= 84.46</w:t>
      </w:r>
    </w:p>
    <w:p w:rsidR="00731DF1" w:rsidRPr="0074017C" w:rsidRDefault="00731DF1" w:rsidP="00DC10CD">
      <w:pPr>
        <w:spacing w:after="0" w:line="240" w:lineRule="auto"/>
        <w:jc w:val="both"/>
      </w:pPr>
      <w:r w:rsidRPr="0074017C">
        <w:t>Macedonian National Bank</w:t>
      </w:r>
      <w:r w:rsidR="00380002" w:rsidRPr="0074017C">
        <w:rPr>
          <w:rStyle w:val="FootnoteReference"/>
        </w:rPr>
        <w:footnoteReference w:id="26"/>
      </w:r>
      <w:r w:rsidRPr="0074017C">
        <w:t>, 21 May 2014; 1 USD=44,95 MKD</w:t>
      </w:r>
    </w:p>
    <w:p w:rsidR="00731DF1" w:rsidRPr="0074017C" w:rsidRDefault="00731DF1" w:rsidP="00DC10CD">
      <w:pPr>
        <w:spacing w:after="0" w:line="240" w:lineRule="auto"/>
        <w:jc w:val="both"/>
      </w:pPr>
    </w:p>
    <w:p w:rsidR="00731DF1" w:rsidRPr="0074017C" w:rsidRDefault="00731DF1" w:rsidP="00DC10CD">
      <w:pPr>
        <w:spacing w:after="0" w:line="240" w:lineRule="auto"/>
        <w:jc w:val="both"/>
      </w:pPr>
      <w:r w:rsidRPr="0074017C">
        <w:t>Methodology of calculation:</w:t>
      </w:r>
    </w:p>
    <w:p w:rsidR="00731DF1" w:rsidRPr="0074017C" w:rsidRDefault="00731DF1" w:rsidP="00DC10CD">
      <w:pPr>
        <w:spacing w:after="0" w:line="240" w:lineRule="auto"/>
        <w:jc w:val="both"/>
      </w:pPr>
      <w:r w:rsidRPr="0074017C">
        <w:t xml:space="preserve">Croatian, Macedonian and Serbian prices do not contain VAT.  </w:t>
      </w:r>
    </w:p>
    <w:p w:rsidR="007316F3" w:rsidRPr="0074017C" w:rsidRDefault="007316F3" w:rsidP="00DC10CD">
      <w:pPr>
        <w:spacing w:after="0" w:line="240" w:lineRule="auto"/>
        <w:jc w:val="both"/>
      </w:pPr>
    </w:p>
    <w:p w:rsidR="001C5BB8" w:rsidRPr="0074017C" w:rsidRDefault="0060319C" w:rsidP="00DC10CD">
      <w:pPr>
        <w:spacing w:after="0" w:line="240" w:lineRule="auto"/>
        <w:jc w:val="both"/>
        <w:rPr>
          <w:b/>
        </w:rPr>
      </w:pPr>
      <w:r w:rsidRPr="0074017C">
        <w:t>Table 2</w:t>
      </w:r>
      <w:r w:rsidR="00D076D5" w:rsidRPr="0074017C">
        <w:t>1</w:t>
      </w:r>
      <w:r w:rsidR="00F5237D" w:rsidRPr="0074017C">
        <w:t xml:space="preserve"> - Price comparisons of selected products in Albania, Croatia, Serbia and Macedonia</w:t>
      </w:r>
    </w:p>
    <w:tbl>
      <w:tblPr>
        <w:tblStyle w:val="TableGrid"/>
        <w:tblW w:w="5000" w:type="pct"/>
        <w:tblLook w:val="04A0"/>
      </w:tblPr>
      <w:tblGrid>
        <w:gridCol w:w="3391"/>
        <w:gridCol w:w="1557"/>
        <w:gridCol w:w="1454"/>
        <w:gridCol w:w="1454"/>
        <w:gridCol w:w="1720"/>
      </w:tblGrid>
      <w:tr w:rsidR="00865E3B" w:rsidRPr="0074017C" w:rsidTr="00865E3B">
        <w:tc>
          <w:tcPr>
            <w:tcW w:w="1771" w:type="pct"/>
          </w:tcPr>
          <w:p w:rsidR="00865E3B" w:rsidRPr="0074017C" w:rsidRDefault="00865E3B" w:rsidP="00DC10CD">
            <w:pPr>
              <w:jc w:val="both"/>
              <w:rPr>
                <w:b/>
              </w:rPr>
            </w:pPr>
            <w:r w:rsidRPr="0074017C">
              <w:rPr>
                <w:b/>
              </w:rPr>
              <w:t>INN</w:t>
            </w:r>
          </w:p>
        </w:tc>
        <w:tc>
          <w:tcPr>
            <w:tcW w:w="813" w:type="pct"/>
          </w:tcPr>
          <w:p w:rsidR="00865E3B" w:rsidRPr="0074017C" w:rsidRDefault="00865E3B" w:rsidP="00DC10CD">
            <w:pPr>
              <w:jc w:val="both"/>
              <w:rPr>
                <w:b/>
              </w:rPr>
            </w:pPr>
            <w:r w:rsidRPr="0074017C">
              <w:rPr>
                <w:b/>
              </w:rPr>
              <w:t>Albanian tendered price in USD</w:t>
            </w:r>
          </w:p>
        </w:tc>
        <w:tc>
          <w:tcPr>
            <w:tcW w:w="759" w:type="pct"/>
          </w:tcPr>
          <w:p w:rsidR="00865E3B" w:rsidRPr="0074017C" w:rsidRDefault="00865E3B" w:rsidP="00DC10CD">
            <w:pPr>
              <w:jc w:val="both"/>
              <w:rPr>
                <w:b/>
              </w:rPr>
            </w:pPr>
            <w:r w:rsidRPr="0074017C">
              <w:rPr>
                <w:b/>
              </w:rPr>
              <w:t>Croatian wholesale price in USD</w:t>
            </w:r>
          </w:p>
        </w:tc>
        <w:tc>
          <w:tcPr>
            <w:tcW w:w="759" w:type="pct"/>
          </w:tcPr>
          <w:p w:rsidR="00865E3B" w:rsidRPr="0074017C" w:rsidRDefault="00865E3B" w:rsidP="00DC10CD">
            <w:pPr>
              <w:jc w:val="both"/>
              <w:rPr>
                <w:b/>
              </w:rPr>
            </w:pPr>
            <w:r w:rsidRPr="0074017C">
              <w:rPr>
                <w:b/>
              </w:rPr>
              <w:t>Serbian wholesale price in USD</w:t>
            </w:r>
          </w:p>
        </w:tc>
        <w:tc>
          <w:tcPr>
            <w:tcW w:w="898" w:type="pct"/>
          </w:tcPr>
          <w:p w:rsidR="00865E3B" w:rsidRPr="0074017C" w:rsidRDefault="00865E3B" w:rsidP="00DC10CD">
            <w:pPr>
              <w:jc w:val="both"/>
              <w:rPr>
                <w:b/>
              </w:rPr>
            </w:pPr>
            <w:r w:rsidRPr="0074017C">
              <w:rPr>
                <w:b/>
              </w:rPr>
              <w:t>Macedonian wholesale price in USD</w:t>
            </w:r>
          </w:p>
        </w:tc>
      </w:tr>
      <w:tr w:rsidR="00865E3B" w:rsidRPr="0074017C" w:rsidTr="00F34653">
        <w:tc>
          <w:tcPr>
            <w:tcW w:w="1771" w:type="pct"/>
          </w:tcPr>
          <w:p w:rsidR="00865E3B" w:rsidRPr="0074017C" w:rsidRDefault="00865E3B" w:rsidP="00DC10CD">
            <w:pPr>
              <w:jc w:val="both"/>
            </w:pPr>
            <w:r w:rsidRPr="0074017C">
              <w:t>Octreotide 30 mg/2,5ml</w:t>
            </w:r>
          </w:p>
        </w:tc>
        <w:tc>
          <w:tcPr>
            <w:tcW w:w="813" w:type="pct"/>
          </w:tcPr>
          <w:p w:rsidR="00865E3B" w:rsidRPr="0074017C" w:rsidRDefault="00865E3B" w:rsidP="00DC10CD">
            <w:pPr>
              <w:jc w:val="both"/>
            </w:pPr>
            <w:r w:rsidRPr="0074017C">
              <w:t>2286,41</w:t>
            </w:r>
          </w:p>
        </w:tc>
        <w:tc>
          <w:tcPr>
            <w:tcW w:w="759" w:type="pct"/>
          </w:tcPr>
          <w:p w:rsidR="00865E3B" w:rsidRPr="0074017C" w:rsidRDefault="00865E3B" w:rsidP="00DC10CD">
            <w:pPr>
              <w:jc w:val="both"/>
            </w:pPr>
            <w:r w:rsidRPr="0074017C">
              <w:t>1610,78</w:t>
            </w:r>
          </w:p>
        </w:tc>
        <w:tc>
          <w:tcPr>
            <w:tcW w:w="759" w:type="pct"/>
            <w:shd w:val="clear" w:color="auto" w:fill="F2F2F2" w:themeFill="background1" w:themeFillShade="F2"/>
          </w:tcPr>
          <w:p w:rsidR="00865E3B" w:rsidRPr="0074017C" w:rsidRDefault="00770797" w:rsidP="00DC10CD">
            <w:pPr>
              <w:jc w:val="both"/>
            </w:pPr>
            <w:r w:rsidRPr="0074017C">
              <w:t>1392,50</w:t>
            </w:r>
          </w:p>
        </w:tc>
        <w:tc>
          <w:tcPr>
            <w:tcW w:w="898" w:type="pct"/>
          </w:tcPr>
          <w:p w:rsidR="00865E3B" w:rsidRPr="0074017C" w:rsidRDefault="007316F3" w:rsidP="00DC10CD">
            <w:pPr>
              <w:jc w:val="both"/>
            </w:pPr>
            <w:r w:rsidRPr="0074017C">
              <w:t>1400</w:t>
            </w:r>
          </w:p>
        </w:tc>
      </w:tr>
      <w:tr w:rsidR="00865E3B" w:rsidRPr="0074017C" w:rsidTr="00F34653">
        <w:tc>
          <w:tcPr>
            <w:tcW w:w="1771" w:type="pct"/>
          </w:tcPr>
          <w:p w:rsidR="00865E3B" w:rsidRPr="0074017C" w:rsidRDefault="00865E3B" w:rsidP="00DC10CD">
            <w:pPr>
              <w:jc w:val="both"/>
            </w:pPr>
            <w:r w:rsidRPr="0074017C">
              <w:t>Pemetrexed 500 mg</w:t>
            </w:r>
          </w:p>
        </w:tc>
        <w:tc>
          <w:tcPr>
            <w:tcW w:w="813" w:type="pct"/>
          </w:tcPr>
          <w:p w:rsidR="00865E3B" w:rsidRPr="0074017C" w:rsidRDefault="00865E3B" w:rsidP="00DC10CD">
            <w:pPr>
              <w:jc w:val="both"/>
            </w:pPr>
            <w:r w:rsidRPr="0074017C">
              <w:t>2009,19</w:t>
            </w:r>
          </w:p>
        </w:tc>
        <w:tc>
          <w:tcPr>
            <w:tcW w:w="759" w:type="pct"/>
          </w:tcPr>
          <w:p w:rsidR="00865E3B" w:rsidRPr="0074017C" w:rsidRDefault="00865E3B" w:rsidP="00DC10CD">
            <w:pPr>
              <w:jc w:val="both"/>
            </w:pPr>
            <w:r w:rsidRPr="0074017C">
              <w:t>1740,88</w:t>
            </w:r>
          </w:p>
        </w:tc>
        <w:tc>
          <w:tcPr>
            <w:tcW w:w="759" w:type="pct"/>
          </w:tcPr>
          <w:p w:rsidR="00865E3B" w:rsidRPr="0074017C" w:rsidRDefault="007316F3" w:rsidP="00DC10CD">
            <w:pPr>
              <w:jc w:val="both"/>
            </w:pPr>
            <w:r w:rsidRPr="0074017C">
              <w:t>1535,47</w:t>
            </w:r>
          </w:p>
        </w:tc>
        <w:tc>
          <w:tcPr>
            <w:tcW w:w="898" w:type="pct"/>
            <w:shd w:val="clear" w:color="auto" w:fill="F2F2F2" w:themeFill="background1" w:themeFillShade="F2"/>
          </w:tcPr>
          <w:p w:rsidR="00865E3B" w:rsidRPr="0074017C" w:rsidRDefault="007316F3" w:rsidP="00DC10CD">
            <w:pPr>
              <w:jc w:val="both"/>
            </w:pPr>
            <w:r w:rsidRPr="0074017C">
              <w:t>1014,43</w:t>
            </w:r>
          </w:p>
        </w:tc>
      </w:tr>
      <w:tr w:rsidR="00865E3B" w:rsidRPr="0074017C" w:rsidTr="00F34653">
        <w:tc>
          <w:tcPr>
            <w:tcW w:w="1771" w:type="pct"/>
          </w:tcPr>
          <w:p w:rsidR="00865E3B" w:rsidRPr="0074017C" w:rsidRDefault="00865E3B" w:rsidP="00DC10CD">
            <w:pPr>
              <w:jc w:val="both"/>
            </w:pPr>
            <w:r w:rsidRPr="0074017C">
              <w:t>Rituximab 500 mg/50ml</w:t>
            </w:r>
          </w:p>
        </w:tc>
        <w:tc>
          <w:tcPr>
            <w:tcW w:w="813" w:type="pct"/>
          </w:tcPr>
          <w:p w:rsidR="00865E3B" w:rsidRPr="0074017C" w:rsidRDefault="00865E3B" w:rsidP="00DC10CD">
            <w:pPr>
              <w:jc w:val="both"/>
            </w:pPr>
            <w:r w:rsidRPr="0074017C">
              <w:t>1652,49</w:t>
            </w:r>
          </w:p>
        </w:tc>
        <w:tc>
          <w:tcPr>
            <w:tcW w:w="759" w:type="pct"/>
          </w:tcPr>
          <w:p w:rsidR="00865E3B" w:rsidRPr="0074017C" w:rsidRDefault="00865E3B" w:rsidP="00DC10CD">
            <w:pPr>
              <w:jc w:val="both"/>
            </w:pPr>
            <w:r w:rsidRPr="0074017C">
              <w:t>1585,02</w:t>
            </w:r>
          </w:p>
        </w:tc>
        <w:tc>
          <w:tcPr>
            <w:tcW w:w="759" w:type="pct"/>
            <w:shd w:val="clear" w:color="auto" w:fill="F2F2F2" w:themeFill="background1" w:themeFillShade="F2"/>
          </w:tcPr>
          <w:p w:rsidR="00865E3B" w:rsidRPr="0074017C" w:rsidRDefault="007316F3" w:rsidP="00DC10CD">
            <w:pPr>
              <w:jc w:val="both"/>
            </w:pPr>
            <w:r w:rsidRPr="0074017C">
              <w:t>1388,18</w:t>
            </w:r>
          </w:p>
        </w:tc>
        <w:tc>
          <w:tcPr>
            <w:tcW w:w="898" w:type="pct"/>
          </w:tcPr>
          <w:p w:rsidR="00865E3B" w:rsidRPr="0074017C" w:rsidRDefault="007316F3" w:rsidP="00DC10CD">
            <w:pPr>
              <w:jc w:val="both"/>
            </w:pPr>
            <w:r w:rsidRPr="0074017C">
              <w:t>1686,53</w:t>
            </w:r>
          </w:p>
        </w:tc>
      </w:tr>
      <w:tr w:rsidR="00865E3B" w:rsidRPr="0074017C" w:rsidTr="00F34653">
        <w:tc>
          <w:tcPr>
            <w:tcW w:w="1771" w:type="pct"/>
          </w:tcPr>
          <w:p w:rsidR="00865E3B" w:rsidRPr="0074017C" w:rsidRDefault="00865E3B" w:rsidP="00DC10CD">
            <w:pPr>
              <w:jc w:val="both"/>
            </w:pPr>
            <w:r w:rsidRPr="0074017C">
              <w:t>Bevacizumab 400mg/16ml</w:t>
            </w:r>
          </w:p>
        </w:tc>
        <w:tc>
          <w:tcPr>
            <w:tcW w:w="813" w:type="pct"/>
          </w:tcPr>
          <w:p w:rsidR="00865E3B" w:rsidRPr="0074017C" w:rsidRDefault="00865E3B" w:rsidP="00DC10CD">
            <w:pPr>
              <w:jc w:val="both"/>
            </w:pPr>
            <w:r w:rsidRPr="0074017C">
              <w:t>1601,52</w:t>
            </w:r>
          </w:p>
        </w:tc>
        <w:tc>
          <w:tcPr>
            <w:tcW w:w="759" w:type="pct"/>
          </w:tcPr>
          <w:p w:rsidR="00865E3B" w:rsidRPr="0074017C" w:rsidRDefault="00865E3B" w:rsidP="00DC10CD">
            <w:pPr>
              <w:jc w:val="both"/>
            </w:pPr>
            <w:r w:rsidRPr="0074017C">
              <w:t>1622,32</w:t>
            </w:r>
          </w:p>
        </w:tc>
        <w:tc>
          <w:tcPr>
            <w:tcW w:w="759" w:type="pct"/>
            <w:shd w:val="clear" w:color="auto" w:fill="F2F2F2" w:themeFill="background1" w:themeFillShade="F2"/>
          </w:tcPr>
          <w:p w:rsidR="00865E3B" w:rsidRPr="0074017C" w:rsidRDefault="007316F3" w:rsidP="00DC10CD">
            <w:pPr>
              <w:jc w:val="both"/>
            </w:pPr>
            <w:r w:rsidRPr="0074017C">
              <w:t>1386,77</w:t>
            </w:r>
          </w:p>
        </w:tc>
        <w:tc>
          <w:tcPr>
            <w:tcW w:w="898" w:type="pct"/>
          </w:tcPr>
          <w:p w:rsidR="00865E3B" w:rsidRPr="0074017C" w:rsidRDefault="007316F3" w:rsidP="00DC10CD">
            <w:pPr>
              <w:jc w:val="both"/>
            </w:pPr>
            <w:r w:rsidRPr="0074017C">
              <w:t>1581,86</w:t>
            </w:r>
          </w:p>
        </w:tc>
      </w:tr>
      <w:tr w:rsidR="00865E3B" w:rsidRPr="0074017C" w:rsidTr="00F34653">
        <w:tc>
          <w:tcPr>
            <w:tcW w:w="1771" w:type="pct"/>
          </w:tcPr>
          <w:p w:rsidR="00865E3B" w:rsidRPr="0074017C" w:rsidRDefault="00865E3B" w:rsidP="00DC10CD">
            <w:pPr>
              <w:jc w:val="both"/>
            </w:pPr>
            <w:r w:rsidRPr="0074017C">
              <w:t>Bortezomib 3,5 mg</w:t>
            </w:r>
          </w:p>
        </w:tc>
        <w:tc>
          <w:tcPr>
            <w:tcW w:w="813" w:type="pct"/>
          </w:tcPr>
          <w:p w:rsidR="00865E3B" w:rsidRPr="0074017C" w:rsidRDefault="00CB647B" w:rsidP="00DC10CD">
            <w:pPr>
              <w:jc w:val="both"/>
            </w:pPr>
            <w:r w:rsidRPr="0074017C">
              <w:t>1379,94</w:t>
            </w:r>
          </w:p>
        </w:tc>
        <w:tc>
          <w:tcPr>
            <w:tcW w:w="759" w:type="pct"/>
          </w:tcPr>
          <w:p w:rsidR="00865E3B" w:rsidRPr="0074017C" w:rsidRDefault="00CB647B" w:rsidP="00DC10CD">
            <w:pPr>
              <w:jc w:val="both"/>
            </w:pPr>
            <w:r w:rsidRPr="0074017C">
              <w:t>1610,31</w:t>
            </w:r>
          </w:p>
        </w:tc>
        <w:tc>
          <w:tcPr>
            <w:tcW w:w="759" w:type="pct"/>
          </w:tcPr>
          <w:p w:rsidR="00865E3B" w:rsidRPr="0074017C" w:rsidRDefault="007316F3" w:rsidP="00DC10CD">
            <w:pPr>
              <w:jc w:val="both"/>
            </w:pPr>
            <w:r w:rsidRPr="0074017C">
              <w:t>1365,75</w:t>
            </w:r>
          </w:p>
        </w:tc>
        <w:tc>
          <w:tcPr>
            <w:tcW w:w="898" w:type="pct"/>
            <w:shd w:val="clear" w:color="auto" w:fill="F2F2F2" w:themeFill="background1" w:themeFillShade="F2"/>
          </w:tcPr>
          <w:p w:rsidR="00865E3B" w:rsidRPr="0074017C" w:rsidRDefault="007316F3" w:rsidP="00DC10CD">
            <w:pPr>
              <w:jc w:val="both"/>
            </w:pPr>
            <w:r w:rsidRPr="0074017C">
              <w:t>1239,36</w:t>
            </w:r>
          </w:p>
        </w:tc>
      </w:tr>
    </w:tbl>
    <w:p w:rsidR="000260D3" w:rsidRPr="0074017C" w:rsidRDefault="000260D3" w:rsidP="00DC10CD">
      <w:pPr>
        <w:spacing w:after="0" w:line="240" w:lineRule="auto"/>
        <w:rPr>
          <w:rFonts w:asciiTheme="majorHAnsi" w:eastAsiaTheme="majorEastAsia" w:hAnsiTheme="majorHAnsi" w:cstheme="majorBidi"/>
          <w:b/>
          <w:bCs/>
          <w:color w:val="365F91" w:themeColor="accent1" w:themeShade="BF"/>
          <w:sz w:val="28"/>
          <w:szCs w:val="28"/>
        </w:rPr>
      </w:pPr>
    </w:p>
    <w:p w:rsidR="00E56C6D" w:rsidRPr="0074017C" w:rsidRDefault="00E56C6D" w:rsidP="00DC10CD">
      <w:pPr>
        <w:spacing w:after="0" w:line="240" w:lineRule="auto"/>
        <w:jc w:val="both"/>
      </w:pPr>
      <w:r w:rsidRPr="0074017C">
        <w:t xml:space="preserve">Similar to prescription and expensive outpatient medicines, all 5 are cheaper in at least one of the three comparator countries – pemetrexed and octreotide substantially. </w:t>
      </w:r>
    </w:p>
    <w:p w:rsidR="00F34653" w:rsidRPr="0074017C" w:rsidRDefault="00F34653" w:rsidP="00DC10CD">
      <w:pPr>
        <w:spacing w:after="0" w:line="240" w:lineRule="auto"/>
        <w:jc w:val="both"/>
      </w:pPr>
    </w:p>
    <w:p w:rsidR="00770797" w:rsidRPr="0074017C" w:rsidRDefault="00731DF1" w:rsidP="00DC10CD">
      <w:pPr>
        <w:spacing w:after="0" w:line="240" w:lineRule="auto"/>
      </w:pPr>
      <w:r w:rsidRPr="0074017C">
        <w:t>Prices of</w:t>
      </w:r>
      <w:r w:rsidR="00770797" w:rsidRPr="0074017C">
        <w:t xml:space="preserve"> generics </w:t>
      </w:r>
      <w:r w:rsidRPr="0074017C">
        <w:t>were not compared as comparator countries also procure these in tenders and information</w:t>
      </w:r>
      <w:r w:rsidR="00533976" w:rsidRPr="0074017C">
        <w:t xml:space="preserve"> on prices</w:t>
      </w:r>
      <w:r w:rsidRPr="0074017C">
        <w:t xml:space="preserve"> is not publicly available.</w:t>
      </w: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98493A" w:rsidRPr="0074017C" w:rsidRDefault="0098493A" w:rsidP="00DC10CD">
      <w:pPr>
        <w:spacing w:after="0" w:line="240" w:lineRule="auto"/>
      </w:pPr>
    </w:p>
    <w:p w:rsidR="00AA7930" w:rsidRPr="0074017C" w:rsidRDefault="00AA7930">
      <w:pPr>
        <w:rPr>
          <w:rFonts w:asciiTheme="majorHAnsi" w:eastAsiaTheme="majorEastAsia" w:hAnsiTheme="majorHAnsi" w:cstheme="majorBidi"/>
          <w:b/>
          <w:bCs/>
          <w:color w:val="365F91" w:themeColor="accent1" w:themeShade="BF"/>
          <w:sz w:val="28"/>
          <w:szCs w:val="28"/>
        </w:rPr>
      </w:pPr>
      <w:bookmarkStart w:id="20" w:name="_Toc388525873"/>
      <w:r w:rsidRPr="0074017C">
        <w:br w:type="page"/>
      </w:r>
    </w:p>
    <w:p w:rsidR="0098493A" w:rsidRPr="0074017C" w:rsidRDefault="0098493A" w:rsidP="00DC10CD">
      <w:pPr>
        <w:pStyle w:val="Heading1"/>
        <w:spacing w:before="0" w:line="240" w:lineRule="auto"/>
      </w:pPr>
      <w:bookmarkStart w:id="21" w:name="_Toc391556318"/>
      <w:r w:rsidRPr="0074017C">
        <w:lastRenderedPageBreak/>
        <w:t>Discussion and Recommendations</w:t>
      </w:r>
      <w:bookmarkEnd w:id="20"/>
      <w:bookmarkEnd w:id="21"/>
    </w:p>
    <w:p w:rsidR="0098493A" w:rsidRPr="0074017C" w:rsidRDefault="0098493A" w:rsidP="00DC10CD">
      <w:pPr>
        <w:spacing w:after="0" w:line="240" w:lineRule="auto"/>
        <w:jc w:val="both"/>
        <w:rPr>
          <w:b/>
        </w:rPr>
      </w:pPr>
    </w:p>
    <w:p w:rsidR="00A71184" w:rsidRPr="0074017C" w:rsidRDefault="005916B9" w:rsidP="00DC10CD">
      <w:pPr>
        <w:spacing w:after="0" w:line="240" w:lineRule="auto"/>
        <w:jc w:val="both"/>
      </w:pPr>
      <w:r w:rsidRPr="0074017C">
        <w:t xml:space="preserve">This report aims to propose an array of </w:t>
      </w:r>
      <w:r w:rsidR="00533976" w:rsidRPr="0074017C">
        <w:t>specific</w:t>
      </w:r>
      <w:r w:rsidRPr="0074017C">
        <w:t xml:space="preserve"> regulatory measure</w:t>
      </w:r>
      <w:r w:rsidR="00533976" w:rsidRPr="0074017C">
        <w:t>s</w:t>
      </w:r>
      <w:r w:rsidRPr="0074017C">
        <w:t xml:space="preserve"> that can be implemented simplyand rapidly. Some will however require building additional capacity in Albanian regulators.</w:t>
      </w:r>
    </w:p>
    <w:p w:rsidR="005916B9" w:rsidRPr="0074017C" w:rsidRDefault="005916B9" w:rsidP="00DC10CD">
      <w:pPr>
        <w:spacing w:after="0" w:line="240" w:lineRule="auto"/>
        <w:jc w:val="both"/>
      </w:pPr>
    </w:p>
    <w:p w:rsidR="005916B9" w:rsidRPr="0074017C" w:rsidRDefault="005916B9" w:rsidP="00DC10CD">
      <w:pPr>
        <w:spacing w:after="0" w:line="240" w:lineRule="auto"/>
        <w:jc w:val="both"/>
      </w:pPr>
      <w:r w:rsidRPr="0074017C">
        <w:t xml:space="preserve">The </w:t>
      </w:r>
      <w:r w:rsidR="00533976" w:rsidRPr="0074017C">
        <w:t>aims</w:t>
      </w:r>
      <w:r w:rsidRPr="0074017C">
        <w:t xml:space="preserve"> that the regulatory measures aim to achieve are:</w:t>
      </w:r>
    </w:p>
    <w:p w:rsidR="005916B9" w:rsidRPr="0074017C" w:rsidRDefault="00A71184" w:rsidP="00DC10CD">
      <w:pPr>
        <w:pStyle w:val="ListParagraph"/>
        <w:numPr>
          <w:ilvl w:val="0"/>
          <w:numId w:val="23"/>
        </w:numPr>
        <w:spacing w:after="0" w:line="240" w:lineRule="auto"/>
        <w:jc w:val="both"/>
      </w:pPr>
      <w:r w:rsidRPr="0074017C">
        <w:t xml:space="preserve">savings and value-for-money for public health expenditures on </w:t>
      </w:r>
      <w:r w:rsidR="005916B9" w:rsidRPr="0074017C">
        <w:t>medicines;</w:t>
      </w:r>
    </w:p>
    <w:p w:rsidR="00800E79" w:rsidRPr="0074017C" w:rsidRDefault="00800E79" w:rsidP="00DC10CD">
      <w:pPr>
        <w:pStyle w:val="ListParagraph"/>
        <w:numPr>
          <w:ilvl w:val="0"/>
          <w:numId w:val="23"/>
        </w:numPr>
        <w:spacing w:after="0" w:line="240" w:lineRule="auto"/>
        <w:jc w:val="both"/>
      </w:pPr>
      <w:r w:rsidRPr="0074017C">
        <w:t>enabling the HIF to control the growth of expenditure on medicines;</w:t>
      </w:r>
    </w:p>
    <w:p w:rsidR="005916B9" w:rsidRPr="0074017C" w:rsidRDefault="00800E79" w:rsidP="00DC10CD">
      <w:pPr>
        <w:pStyle w:val="ListParagraph"/>
        <w:numPr>
          <w:ilvl w:val="0"/>
          <w:numId w:val="23"/>
        </w:numPr>
        <w:spacing w:after="0" w:line="240" w:lineRule="auto"/>
        <w:jc w:val="both"/>
      </w:pPr>
      <w:r w:rsidRPr="0074017C">
        <w:t>r</w:t>
      </w:r>
      <w:r w:rsidR="005916B9" w:rsidRPr="0074017C">
        <w:t>educing very</w:t>
      </w:r>
      <w:r w:rsidR="00A71184" w:rsidRPr="0074017C">
        <w:t xml:space="preserve"> high rates of </w:t>
      </w:r>
      <w:r w:rsidR="005916B9" w:rsidRPr="0074017C">
        <w:t>copayments for medicines through financial stimuli and administrative measures</w:t>
      </w:r>
      <w:r w:rsidRPr="0074017C">
        <w:t>;</w:t>
      </w:r>
    </w:p>
    <w:p w:rsidR="00800E79" w:rsidRPr="0074017C" w:rsidRDefault="00800E79" w:rsidP="00DC10CD">
      <w:pPr>
        <w:pStyle w:val="ListParagraph"/>
        <w:numPr>
          <w:ilvl w:val="0"/>
          <w:numId w:val="23"/>
        </w:numPr>
        <w:spacing w:after="0" w:line="240" w:lineRule="auto"/>
        <w:jc w:val="both"/>
      </w:pPr>
      <w:r w:rsidRPr="0074017C">
        <w:t>increasing the quality, effectiveness and transparency of reimbursement decision making;</w:t>
      </w:r>
    </w:p>
    <w:p w:rsidR="00800E79" w:rsidRPr="0074017C" w:rsidRDefault="005916B9" w:rsidP="00DC10CD">
      <w:pPr>
        <w:pStyle w:val="ListParagraph"/>
        <w:numPr>
          <w:ilvl w:val="0"/>
          <w:numId w:val="23"/>
        </w:numPr>
        <w:spacing w:after="0" w:line="240" w:lineRule="auto"/>
        <w:jc w:val="both"/>
      </w:pPr>
      <w:r w:rsidRPr="0074017C">
        <w:t>improving</w:t>
      </w:r>
      <w:r w:rsidR="00A71184" w:rsidRPr="0074017C">
        <w:t xml:space="preserve"> access and cov</w:t>
      </w:r>
      <w:r w:rsidR="00800E79" w:rsidRPr="0074017C">
        <w:t>erage for lifesaving medicines and</w:t>
      </w:r>
    </w:p>
    <w:p w:rsidR="00800E79" w:rsidRPr="0074017C" w:rsidRDefault="00800E79" w:rsidP="00DC10CD">
      <w:pPr>
        <w:pStyle w:val="ListParagraph"/>
        <w:numPr>
          <w:ilvl w:val="0"/>
          <w:numId w:val="23"/>
        </w:numPr>
        <w:spacing w:after="0" w:line="240" w:lineRule="auto"/>
        <w:jc w:val="both"/>
      </w:pPr>
      <w:r w:rsidRPr="0074017C">
        <w:t>ensuring rational prescribing of medicines</w:t>
      </w:r>
    </w:p>
    <w:p w:rsidR="00800E79" w:rsidRPr="0074017C" w:rsidRDefault="00800E79" w:rsidP="00DC10CD">
      <w:pPr>
        <w:spacing w:after="0" w:line="240" w:lineRule="auto"/>
        <w:ind w:left="360"/>
        <w:jc w:val="both"/>
      </w:pPr>
    </w:p>
    <w:p w:rsidR="00F6228D" w:rsidRPr="0074017C" w:rsidRDefault="006A52A6" w:rsidP="00F6228D">
      <w:pPr>
        <w:spacing w:after="0" w:line="240" w:lineRule="auto"/>
        <w:jc w:val="both"/>
        <w:rPr>
          <w:rFonts w:ascii="Calibri" w:hAnsi="Calibri" w:cs="Calibri"/>
        </w:rPr>
      </w:pPr>
      <w:r w:rsidRPr="0074017C">
        <w:t xml:space="preserve">In order to achieve this very ambitious set of objectives, an array of both </w:t>
      </w:r>
      <w:r w:rsidR="00EC3E62" w:rsidRPr="0074017C">
        <w:t xml:space="preserve">supply and demand </w:t>
      </w:r>
      <w:r w:rsidRPr="0074017C">
        <w:t xml:space="preserve">side targeted </w:t>
      </w:r>
      <w:r w:rsidR="00EC3E62" w:rsidRPr="0074017C">
        <w:t>measure</w:t>
      </w:r>
      <w:r w:rsidR="00533976" w:rsidRPr="0074017C">
        <w:t>s</w:t>
      </w:r>
      <w:r w:rsidR="00EC3E62" w:rsidRPr="0074017C">
        <w:t xml:space="preserve"> should be </w:t>
      </w:r>
      <w:r w:rsidRPr="0074017C">
        <w:t>implemented</w:t>
      </w:r>
      <w:r w:rsidR="00EC3E62" w:rsidRPr="0074017C">
        <w:t xml:space="preserve">. </w:t>
      </w:r>
      <w:r w:rsidR="00F6228D" w:rsidRPr="0074017C">
        <w:rPr>
          <w:rFonts w:ascii="Calibri" w:hAnsi="Calibri" w:cs="Calibri"/>
        </w:rPr>
        <w:t>Recommendations have been marked as short/medium/long term depending on time required for implementation – having in mind available resources in Albania. Albanian authorities should be able to implement the majority in the short term with current human resources and some additional technical assistance. Some would however entail additional analyses, investments in IT and substantial human resources development.</w:t>
      </w:r>
    </w:p>
    <w:p w:rsidR="00F6228D" w:rsidRPr="0074017C" w:rsidRDefault="00F6228D" w:rsidP="00F6228D">
      <w:pPr>
        <w:spacing w:after="0"/>
        <w:jc w:val="both"/>
        <w:rPr>
          <w:rFonts w:ascii="Calibri" w:hAnsi="Calibri" w:cs="Calibri"/>
        </w:rPr>
      </w:pPr>
    </w:p>
    <w:tbl>
      <w:tblPr>
        <w:tblStyle w:val="TableGrid"/>
        <w:tblW w:w="5000" w:type="pct"/>
        <w:tblLook w:val="04A0"/>
      </w:tblPr>
      <w:tblGrid>
        <w:gridCol w:w="5877"/>
        <w:gridCol w:w="1227"/>
        <w:gridCol w:w="1297"/>
        <w:gridCol w:w="1175"/>
      </w:tblGrid>
      <w:tr w:rsidR="00F6228D" w:rsidRPr="0074017C" w:rsidTr="00DA30F1">
        <w:tc>
          <w:tcPr>
            <w:tcW w:w="0" w:type="auto"/>
            <w:noWrap/>
            <w:hideMark/>
          </w:tcPr>
          <w:p w:rsidR="00F6228D" w:rsidRPr="0074017C" w:rsidRDefault="00F6228D" w:rsidP="00DA30F1">
            <w:pPr>
              <w:rPr>
                <w:b/>
                <w:bCs/>
              </w:rPr>
            </w:pPr>
            <w:r w:rsidRPr="0074017C">
              <w:rPr>
                <w:b/>
                <w:bCs/>
              </w:rPr>
              <w:t xml:space="preserve">Recommendations in short </w:t>
            </w:r>
          </w:p>
        </w:tc>
        <w:tc>
          <w:tcPr>
            <w:tcW w:w="0" w:type="auto"/>
            <w:hideMark/>
          </w:tcPr>
          <w:p w:rsidR="00F6228D" w:rsidRPr="0074017C" w:rsidRDefault="00F6228D" w:rsidP="00DA30F1">
            <w:pPr>
              <w:rPr>
                <w:b/>
                <w:bCs/>
              </w:rPr>
            </w:pPr>
            <w:r w:rsidRPr="0074017C">
              <w:rPr>
                <w:b/>
                <w:bCs/>
              </w:rPr>
              <w:t>Short Term (1-3 months)</w:t>
            </w:r>
          </w:p>
        </w:tc>
        <w:tc>
          <w:tcPr>
            <w:tcW w:w="0" w:type="auto"/>
            <w:hideMark/>
          </w:tcPr>
          <w:p w:rsidR="00F6228D" w:rsidRPr="0074017C" w:rsidRDefault="00F6228D" w:rsidP="00DA30F1">
            <w:pPr>
              <w:rPr>
                <w:b/>
                <w:bCs/>
              </w:rPr>
            </w:pPr>
            <w:r w:rsidRPr="0074017C">
              <w:rPr>
                <w:b/>
                <w:bCs/>
              </w:rPr>
              <w:t>Medium Term (6-12 months)</w:t>
            </w:r>
          </w:p>
        </w:tc>
        <w:tc>
          <w:tcPr>
            <w:tcW w:w="0" w:type="auto"/>
            <w:hideMark/>
          </w:tcPr>
          <w:p w:rsidR="00F6228D" w:rsidRPr="0074017C" w:rsidRDefault="00F6228D" w:rsidP="00DA30F1">
            <w:pPr>
              <w:rPr>
                <w:b/>
                <w:bCs/>
              </w:rPr>
            </w:pPr>
            <w:r w:rsidRPr="0074017C">
              <w:rPr>
                <w:b/>
                <w:bCs/>
              </w:rPr>
              <w:t>Long Term (12 months +)</w:t>
            </w:r>
          </w:p>
        </w:tc>
      </w:tr>
      <w:tr w:rsidR="00F6228D" w:rsidRPr="0074017C" w:rsidTr="00DA30F1">
        <w:tc>
          <w:tcPr>
            <w:tcW w:w="0" w:type="auto"/>
            <w:gridSpan w:val="4"/>
            <w:shd w:val="clear" w:color="auto" w:fill="D9D9D9" w:themeFill="background1" w:themeFillShade="D9"/>
            <w:noWrap/>
            <w:hideMark/>
          </w:tcPr>
          <w:p w:rsidR="00F6228D" w:rsidRPr="0074017C" w:rsidRDefault="00F6228D" w:rsidP="00DA30F1">
            <w:pPr>
              <w:jc w:val="center"/>
              <w:rPr>
                <w:b/>
                <w:bCs/>
                <w:i/>
                <w:iCs/>
              </w:rPr>
            </w:pPr>
            <w:r w:rsidRPr="0074017C">
              <w:rPr>
                <w:b/>
                <w:bCs/>
                <w:i/>
                <w:iCs/>
              </w:rPr>
              <w:t>Supply-side policies</w:t>
            </w:r>
          </w:p>
          <w:p w:rsidR="00F6228D" w:rsidRPr="0074017C" w:rsidRDefault="00F6228D" w:rsidP="00DA30F1">
            <w:pPr>
              <w:jc w:val="center"/>
            </w:pPr>
          </w:p>
        </w:tc>
      </w:tr>
      <w:tr w:rsidR="00F6228D" w:rsidRPr="0074017C" w:rsidTr="00DA30F1">
        <w:tc>
          <w:tcPr>
            <w:tcW w:w="0" w:type="auto"/>
            <w:noWrap/>
            <w:hideMark/>
          </w:tcPr>
          <w:p w:rsidR="00F6228D" w:rsidRPr="0074017C" w:rsidRDefault="00F6228D" w:rsidP="00DA30F1">
            <w:r w:rsidRPr="0074017C">
              <w:t>List packs instead of unit doses</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IRP - compare prices of off-patent medicines by INN, not brand name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IRP - compare wholesale prices, not CFR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IRP - expand the list of comparator countries to include Serbia and calculate prices twice annually</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hideMark/>
          </w:tcPr>
          <w:p w:rsidR="00F6228D" w:rsidRPr="0074017C" w:rsidRDefault="00F6228D" w:rsidP="00DA30F1"/>
        </w:tc>
        <w:tc>
          <w:tcPr>
            <w:tcW w:w="0" w:type="auto"/>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IRP - implement price comparisons through an IT system</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 xml:space="preserve">Redefine the reimbursement decision making methodology and due process in more detail for prescription medicines and expensive outpatient medicines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Define the reimbursement decision making methodology and due process for hospital medicines</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Invest in building resources for HTA</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 xml:space="preserve">Introduce larger mandatory reimbursement price cuts for generic medicines that seek reimbursement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Introduce mandatory reimbursement price cuts for me too medicines that seek reimbursement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Reference price various strengths of INNs</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Reference price combination tablets vs individual components</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Reference price me too medicines in selected groups at ATC </w:t>
            </w:r>
            <w:r w:rsidRPr="0074017C">
              <w:lastRenderedPageBreak/>
              <w:t>level 4</w:t>
            </w:r>
          </w:p>
        </w:tc>
        <w:tc>
          <w:tcPr>
            <w:tcW w:w="0" w:type="auto"/>
            <w:noWrap/>
            <w:hideMark/>
          </w:tcPr>
          <w:p w:rsidR="00F6228D" w:rsidRPr="0074017C" w:rsidRDefault="00F6228D" w:rsidP="00DA30F1">
            <w:r w:rsidRPr="0074017C">
              <w:rPr>
                <w:rFonts w:ascii="MS Gothic" w:eastAsia="MS Gothic" w:hAnsi="MS Gothic" w:cs="MS Gothic"/>
              </w:rPr>
              <w:lastRenderedPageBreak/>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lastRenderedPageBreak/>
              <w:t>Update the reimbursement list quarterly</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Tender selected groups of prescription medicines </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 xml:space="preserve">Introduce mandatory managed entry agreements for all expensive medicines – both prescription and hospital and stop tendering patented hospital medicines  </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Introduce cross product agreements for reimbursement of new medicines </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r>
      <w:tr w:rsidR="00F6228D" w:rsidRPr="0074017C" w:rsidTr="00DA30F1">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gridSpan w:val="4"/>
            <w:shd w:val="clear" w:color="auto" w:fill="D9D9D9" w:themeFill="background1" w:themeFillShade="D9"/>
            <w:hideMark/>
          </w:tcPr>
          <w:p w:rsidR="00F6228D" w:rsidRPr="0074017C" w:rsidRDefault="00F6228D" w:rsidP="00DA30F1">
            <w:pPr>
              <w:jc w:val="center"/>
              <w:rPr>
                <w:b/>
                <w:bCs/>
                <w:i/>
                <w:iCs/>
              </w:rPr>
            </w:pPr>
            <w:r w:rsidRPr="0074017C">
              <w:rPr>
                <w:b/>
                <w:bCs/>
                <w:i/>
                <w:iCs/>
              </w:rPr>
              <w:t>Demand side policies</w:t>
            </w:r>
          </w:p>
          <w:p w:rsidR="00F6228D" w:rsidRPr="0074017C" w:rsidRDefault="00F6228D" w:rsidP="00DA30F1">
            <w:pPr>
              <w:jc w:val="center"/>
              <w:rPr>
                <w:b/>
                <w:bCs/>
                <w:i/>
                <w:iCs/>
              </w:rPr>
            </w:pPr>
          </w:p>
        </w:tc>
      </w:tr>
      <w:tr w:rsidR="00F6228D" w:rsidRPr="0074017C" w:rsidTr="00DA30F1">
        <w:tc>
          <w:tcPr>
            <w:tcW w:w="0" w:type="auto"/>
            <w:hideMark/>
          </w:tcPr>
          <w:p w:rsidR="00F6228D" w:rsidRPr="0074017C" w:rsidRDefault="00F6228D" w:rsidP="00DA30F1">
            <w:r w:rsidRPr="0074017C">
              <w:t xml:space="preserve">Regulate promotion conducted by pharmaceutical companies </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Educate prescribers on rational use of medicines </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Benchmark GPs according to prescription indicators</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 xml:space="preserve">Introduce stricter control on adherence to prescribing guidelines for GPs </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 xml:space="preserve">Prohibit specialists from recommending medicines using brand names and prescribing expensive hospital outpatient medicines by brand name and specialists and GPs from prescribing non reimbursed medicines by brand names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Introduce clinical guidelines for expensive inpatient and outpatient hospital medicines </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Introduce regressive markups for prescription medicines and allow substitution of medicines prescribed by brand name only for a lower priced generic copy</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 xml:space="preserve">Implement public campaigns to assure patients of the quality of registered generics </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Limit co-payments for reimbursed medicines</w:t>
            </w:r>
          </w:p>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c>
          <w:tcPr>
            <w:tcW w:w="0" w:type="auto"/>
            <w:noWrap/>
            <w:hideMark/>
          </w:tcPr>
          <w:p w:rsidR="00F6228D" w:rsidRPr="0074017C" w:rsidRDefault="00F6228D" w:rsidP="00DA30F1"/>
        </w:tc>
      </w:tr>
      <w:tr w:rsidR="00F6228D" w:rsidRPr="0074017C" w:rsidTr="00DA30F1">
        <w:tc>
          <w:tcPr>
            <w:tcW w:w="0" w:type="auto"/>
            <w:hideMark/>
          </w:tcPr>
          <w:p w:rsidR="00F6228D" w:rsidRPr="0074017C" w:rsidRDefault="00F6228D" w:rsidP="00DA30F1">
            <w:r w:rsidRPr="0074017C">
              <w:t>Implement ePrescriptions and Track and Trace technology</w:t>
            </w:r>
          </w:p>
        </w:tc>
        <w:tc>
          <w:tcPr>
            <w:tcW w:w="0" w:type="auto"/>
            <w:noWrap/>
            <w:hideMark/>
          </w:tcPr>
          <w:p w:rsidR="00F6228D" w:rsidRPr="0074017C" w:rsidRDefault="00F6228D" w:rsidP="00DA30F1"/>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r>
      <w:tr w:rsidR="00F6228D" w:rsidRPr="0074017C" w:rsidTr="00DA30F1">
        <w:tc>
          <w:tcPr>
            <w:tcW w:w="0" w:type="auto"/>
            <w:hideMark/>
          </w:tcPr>
          <w:p w:rsidR="00F6228D" w:rsidRPr="0074017C" w:rsidRDefault="00F6228D" w:rsidP="00DA30F1">
            <w:r w:rsidRPr="0074017C">
              <w:t>Expand the categories of Insured relieved of contributions to include financially deprived who can't afford copayments for all medicines or for a subset of essential medicines</w:t>
            </w:r>
          </w:p>
        </w:tc>
        <w:tc>
          <w:tcPr>
            <w:tcW w:w="0" w:type="auto"/>
            <w:noWrap/>
            <w:hideMark/>
          </w:tcPr>
          <w:p w:rsidR="00F6228D" w:rsidRPr="0074017C" w:rsidRDefault="00F6228D" w:rsidP="00DA30F1"/>
        </w:tc>
        <w:tc>
          <w:tcPr>
            <w:tcW w:w="0" w:type="auto"/>
            <w:noWrap/>
            <w:hideMark/>
          </w:tcPr>
          <w:p w:rsidR="00F6228D" w:rsidRPr="0074017C" w:rsidRDefault="00F6228D" w:rsidP="00DA30F1">
            <w:r w:rsidRPr="0074017C">
              <w:rPr>
                <w:rFonts w:ascii="MS Gothic" w:eastAsia="MS Gothic" w:hAnsi="MS Gothic" w:cs="MS Gothic"/>
              </w:rPr>
              <w:t>✗</w:t>
            </w:r>
          </w:p>
        </w:tc>
        <w:tc>
          <w:tcPr>
            <w:tcW w:w="0" w:type="auto"/>
            <w:noWrap/>
            <w:hideMark/>
          </w:tcPr>
          <w:p w:rsidR="00F6228D" w:rsidRPr="0074017C" w:rsidRDefault="00F6228D" w:rsidP="00DA30F1"/>
        </w:tc>
      </w:tr>
    </w:tbl>
    <w:p w:rsidR="006974B7" w:rsidRPr="0074017C" w:rsidRDefault="006974B7" w:rsidP="00DC10CD">
      <w:pPr>
        <w:spacing w:after="0" w:line="240" w:lineRule="auto"/>
        <w:jc w:val="both"/>
        <w:rPr>
          <w:b/>
        </w:rPr>
      </w:pPr>
    </w:p>
    <w:p w:rsidR="006974B7" w:rsidRPr="0074017C" w:rsidRDefault="006974B7" w:rsidP="00DC10CD">
      <w:pPr>
        <w:spacing w:after="0" w:line="240" w:lineRule="auto"/>
        <w:jc w:val="both"/>
        <w:rPr>
          <w:b/>
        </w:rPr>
      </w:pPr>
    </w:p>
    <w:p w:rsidR="0098493A" w:rsidRPr="0074017C" w:rsidRDefault="00F20C05" w:rsidP="00DC10CD">
      <w:pPr>
        <w:pStyle w:val="Heading2"/>
        <w:spacing w:before="0" w:line="240" w:lineRule="auto"/>
      </w:pPr>
      <w:bookmarkStart w:id="22" w:name="_Toc391556319"/>
      <w:r w:rsidRPr="0074017C">
        <w:t>Pricing</w:t>
      </w:r>
      <w:bookmarkEnd w:id="22"/>
    </w:p>
    <w:p w:rsidR="00F20C05" w:rsidRPr="0074017C" w:rsidRDefault="00F20C05" w:rsidP="00DC10CD">
      <w:pPr>
        <w:spacing w:after="0" w:line="240" w:lineRule="auto"/>
      </w:pPr>
    </w:p>
    <w:p w:rsidR="00F20C05" w:rsidRPr="0074017C" w:rsidRDefault="00F20C05" w:rsidP="00DC10CD">
      <w:pPr>
        <w:pStyle w:val="ListParagraph"/>
        <w:numPr>
          <w:ilvl w:val="0"/>
          <w:numId w:val="14"/>
        </w:numPr>
        <w:spacing w:after="0" w:line="240" w:lineRule="auto"/>
        <w:rPr>
          <w:b/>
        </w:rPr>
      </w:pPr>
      <w:r w:rsidRPr="0074017C">
        <w:rPr>
          <w:b/>
        </w:rPr>
        <w:t>Consider listing packs, not unit doses</w:t>
      </w:r>
    </w:p>
    <w:p w:rsidR="00F20C05" w:rsidRPr="0074017C" w:rsidRDefault="006974B7" w:rsidP="00DC10CD">
      <w:pPr>
        <w:spacing w:after="0" w:line="240" w:lineRule="auto"/>
        <w:jc w:val="both"/>
      </w:pPr>
      <w:r w:rsidRPr="0074017C">
        <w:t xml:space="preserve">Most countries list packs, rather than unit doses. This makes international price comparisons easier, more </w:t>
      </w:r>
      <w:r w:rsidR="00F57C35" w:rsidRPr="0074017C">
        <w:t>straightforward</w:t>
      </w:r>
      <w:r w:rsidRPr="0074017C">
        <w:t xml:space="preserve"> and allows the payer to benefit from the relatively lower price of unit doses in larger packs compared to </w:t>
      </w:r>
      <w:r w:rsidR="00EF7043" w:rsidRPr="0074017C">
        <w:t xml:space="preserve">those of </w:t>
      </w:r>
      <w:r w:rsidRPr="0074017C">
        <w:t xml:space="preserve">smaller ones. </w:t>
      </w:r>
      <w:r w:rsidR="00EF7043" w:rsidRPr="0074017C">
        <w:t xml:space="preserve">Price differences appear due to costs of production. </w:t>
      </w:r>
      <w:r w:rsidRPr="0074017C">
        <w:t xml:space="preserve">Larger packs are particularly suitable for patients suffering from chronic non communicable diseases who take their therapy continuously or in prolonged periods of time. </w:t>
      </w:r>
    </w:p>
    <w:p w:rsidR="00D869E2" w:rsidRPr="0074017C" w:rsidRDefault="00D869E2" w:rsidP="00DC10CD">
      <w:pPr>
        <w:spacing w:after="0" w:line="240" w:lineRule="auto"/>
        <w:jc w:val="both"/>
      </w:pPr>
    </w:p>
    <w:p w:rsidR="00F20C05" w:rsidRPr="0074017C" w:rsidRDefault="00F20C05" w:rsidP="00DC10CD">
      <w:pPr>
        <w:pStyle w:val="ListParagraph"/>
        <w:numPr>
          <w:ilvl w:val="0"/>
          <w:numId w:val="14"/>
        </w:numPr>
        <w:spacing w:after="0" w:line="240" w:lineRule="auto"/>
        <w:rPr>
          <w:b/>
        </w:rPr>
      </w:pPr>
      <w:r w:rsidRPr="0074017C">
        <w:rPr>
          <w:b/>
        </w:rPr>
        <w:t xml:space="preserve">Consider comparing prices </w:t>
      </w:r>
      <w:r w:rsidR="006974B7" w:rsidRPr="0074017C">
        <w:rPr>
          <w:b/>
        </w:rPr>
        <w:t xml:space="preserve">of off-patent medicines </w:t>
      </w:r>
      <w:r w:rsidRPr="0074017C">
        <w:rPr>
          <w:b/>
        </w:rPr>
        <w:t>by INN, not brand name</w:t>
      </w:r>
    </w:p>
    <w:p w:rsidR="00542B53" w:rsidRPr="0074017C" w:rsidRDefault="006974B7" w:rsidP="00DC10CD">
      <w:pPr>
        <w:spacing w:after="0" w:line="240" w:lineRule="auto"/>
        <w:jc w:val="both"/>
      </w:pPr>
      <w:r w:rsidRPr="0074017C">
        <w:t xml:space="preserve">Most countries compare prices of off-patent medicines by INN, not brand name. As patents expire and generic companies start to market copies, prices </w:t>
      </w:r>
      <w:r w:rsidR="00EF7043" w:rsidRPr="0074017C">
        <w:t xml:space="preserve">paid </w:t>
      </w:r>
      <w:r w:rsidRPr="0074017C">
        <w:t>for the particular INN in most countries fall sharply</w:t>
      </w:r>
      <w:r w:rsidR="00EF7043" w:rsidRPr="0074017C">
        <w:t xml:space="preserve"> as payers swiftly reduce the reimbursed price and generic producers compete </w:t>
      </w:r>
      <w:r w:rsidR="00EE36B2" w:rsidRPr="0074017C">
        <w:t xml:space="preserve">on lowering copayments </w:t>
      </w:r>
      <w:r w:rsidR="00EF7043" w:rsidRPr="0074017C">
        <w:lastRenderedPageBreak/>
        <w:t>(if they exist)</w:t>
      </w:r>
      <w:r w:rsidRPr="0074017C">
        <w:t xml:space="preserve">. </w:t>
      </w:r>
      <w:r w:rsidR="00EF7043" w:rsidRPr="0074017C">
        <w:t xml:space="preserve">Several methodologies can be used to set the maximum national price – mean, median, lowest priced INN in other countries, average of the least several expensive copies, etc.  </w:t>
      </w:r>
      <w:r w:rsidRPr="0074017C">
        <w:t xml:space="preserve">Comparing </w:t>
      </w:r>
      <w:r w:rsidR="00EE36B2" w:rsidRPr="0074017C">
        <w:t xml:space="preserve">international </w:t>
      </w:r>
      <w:r w:rsidRPr="0074017C">
        <w:t xml:space="preserve">prices of off-patent medicines </w:t>
      </w:r>
      <w:r w:rsidR="00EF7043" w:rsidRPr="0074017C">
        <w:t xml:space="preserve">by brand name as is currently done in Albania is less </w:t>
      </w:r>
      <w:r w:rsidR="00515C10" w:rsidRPr="0074017C">
        <w:t>effective in lowering prices. O</w:t>
      </w:r>
      <w:r w:rsidR="00EF7043" w:rsidRPr="0074017C">
        <w:t>riginator companies rarely reduce prices to the levels of generic copies</w:t>
      </w:r>
      <w:r w:rsidR="00515C10" w:rsidRPr="0074017C">
        <w:t xml:space="preserve"> - trying to maximize profit through higher prices counting on brand loyalty from a subset of doctors and patients. </w:t>
      </w:r>
      <w:r w:rsidR="00830470" w:rsidRPr="0074017C">
        <w:t xml:space="preserve">Branded generics, </w:t>
      </w:r>
      <w:r w:rsidR="00533976" w:rsidRPr="0074017C">
        <w:t>common</w:t>
      </w:r>
      <w:r w:rsidR="00830470" w:rsidRPr="0074017C">
        <w:t xml:space="preserve"> in the Western Balkans countries, can also be overpriced leading to unnecessarily high Albanian prices. </w:t>
      </w:r>
    </w:p>
    <w:p w:rsidR="00542B53" w:rsidRPr="0074017C" w:rsidRDefault="00542B53" w:rsidP="00DC10CD">
      <w:pPr>
        <w:pStyle w:val="ListParagraph"/>
        <w:spacing w:after="0" w:line="240" w:lineRule="auto"/>
      </w:pPr>
    </w:p>
    <w:p w:rsidR="00F20C05" w:rsidRPr="0074017C" w:rsidRDefault="00542B53" w:rsidP="00DC10CD">
      <w:pPr>
        <w:pStyle w:val="ListParagraph"/>
        <w:numPr>
          <w:ilvl w:val="0"/>
          <w:numId w:val="14"/>
        </w:numPr>
        <w:spacing w:after="0" w:line="240" w:lineRule="auto"/>
        <w:rPr>
          <w:b/>
        </w:rPr>
      </w:pPr>
      <w:r w:rsidRPr="0074017C">
        <w:rPr>
          <w:b/>
        </w:rPr>
        <w:t>Consider comparing wholesale prices, not CFR price</w:t>
      </w:r>
      <w:r w:rsidR="00E05E9D" w:rsidRPr="0074017C">
        <w:rPr>
          <w:b/>
        </w:rPr>
        <w:t>s</w:t>
      </w:r>
    </w:p>
    <w:p w:rsidR="00A21465" w:rsidRPr="0074017C" w:rsidRDefault="00E05E9D" w:rsidP="00DC10CD">
      <w:pPr>
        <w:spacing w:after="0" w:line="240" w:lineRule="auto"/>
        <w:jc w:val="both"/>
      </w:pPr>
      <w:r w:rsidRPr="0074017C">
        <w:t>International price comparisons can be very complicated as medicine</w:t>
      </w:r>
      <w:r w:rsidR="00A21465" w:rsidRPr="0074017C">
        <w:t>s have</w:t>
      </w:r>
      <w:r w:rsidRPr="0074017C">
        <w:t xml:space="preserve"> a number of associated prices (ex factory, CFR, wholesale, retail, etc.) and as VAT rates on medicines vary by country. However, a </w:t>
      </w:r>
      <w:r w:rsidR="00A21465" w:rsidRPr="0074017C">
        <w:t>lot</w:t>
      </w:r>
      <w:r w:rsidRPr="0074017C">
        <w:t xml:space="preserve"> of countries </w:t>
      </w:r>
      <w:r w:rsidR="00601C0F" w:rsidRPr="0074017C">
        <w:t xml:space="preserve">choose to </w:t>
      </w:r>
      <w:r w:rsidRPr="0074017C">
        <w:t>compare wholesale prices as these</w:t>
      </w:r>
      <w:r w:rsidR="00A21465" w:rsidRPr="0074017C">
        <w:t>:</w:t>
      </w:r>
    </w:p>
    <w:p w:rsidR="00A21465" w:rsidRPr="0074017C" w:rsidRDefault="00E05E9D" w:rsidP="00DC10CD">
      <w:pPr>
        <w:pStyle w:val="ListParagraph"/>
        <w:numPr>
          <w:ilvl w:val="0"/>
          <w:numId w:val="16"/>
        </w:numPr>
        <w:spacing w:after="0" w:line="240" w:lineRule="auto"/>
        <w:jc w:val="both"/>
      </w:pPr>
      <w:r w:rsidRPr="0074017C">
        <w:t xml:space="preserve">fairly accurately reflect the value that a particular payer is paying for a pack of medicines delivered to the patient. The </w:t>
      </w:r>
      <w:r w:rsidR="00601C0F" w:rsidRPr="0074017C">
        <w:t>remaining additional cost (</w:t>
      </w:r>
      <w:r w:rsidRPr="0074017C">
        <w:t>retail markup</w:t>
      </w:r>
      <w:r w:rsidR="00601C0F" w:rsidRPr="0074017C">
        <w:t>)</w:t>
      </w:r>
      <w:r w:rsidRPr="0074017C">
        <w:t xml:space="preserve"> can in this perspective be viewed as a national cost of having a wide net of pharmacies making therapy</w:t>
      </w:r>
      <w:r w:rsidR="00601C0F" w:rsidRPr="0074017C">
        <w:t xml:space="preserve"> and advice</w:t>
      </w:r>
      <w:r w:rsidRPr="0074017C">
        <w:t xml:space="preserve"> accessible to the population.</w:t>
      </w:r>
    </w:p>
    <w:p w:rsidR="00A21465" w:rsidRPr="0074017C" w:rsidRDefault="00601C0F" w:rsidP="00DC10CD">
      <w:pPr>
        <w:pStyle w:val="ListParagraph"/>
        <w:numPr>
          <w:ilvl w:val="0"/>
          <w:numId w:val="16"/>
        </w:numPr>
        <w:spacing w:after="0" w:line="240" w:lineRule="auto"/>
        <w:jc w:val="both"/>
      </w:pPr>
      <w:r w:rsidRPr="0074017C">
        <w:t>S</w:t>
      </w:r>
      <w:r w:rsidR="00A21465" w:rsidRPr="0074017C">
        <w:t>implify comparisons as most other countries publish wholesale prices, or retail prices from which wholesale prices can be easily deduced as retail markups are publicly accessible information.</w:t>
      </w:r>
    </w:p>
    <w:p w:rsidR="00E05E9D" w:rsidRPr="00330A37" w:rsidRDefault="00A21465" w:rsidP="00DC10CD">
      <w:pPr>
        <w:spacing w:after="0" w:line="240" w:lineRule="auto"/>
        <w:jc w:val="both"/>
        <w:rPr>
          <w:b/>
        </w:rPr>
      </w:pPr>
      <w:r w:rsidRPr="00330A37">
        <w:rPr>
          <w:b/>
        </w:rPr>
        <w:t xml:space="preserve">The current Albanian practice of determining CFR prices through negotiations seems more complicated and less </w:t>
      </w:r>
      <w:r w:rsidR="00601C0F" w:rsidRPr="00330A37">
        <w:rPr>
          <w:b/>
        </w:rPr>
        <w:t>straightforward</w:t>
      </w:r>
      <w:r w:rsidRPr="00330A37">
        <w:rPr>
          <w:b/>
        </w:rPr>
        <w:t xml:space="preserve">.  </w:t>
      </w:r>
    </w:p>
    <w:p w:rsidR="00F20C05" w:rsidRPr="0074017C" w:rsidRDefault="00F20C05" w:rsidP="00DC10CD">
      <w:pPr>
        <w:pStyle w:val="ListParagraph"/>
        <w:spacing w:after="0" w:line="240" w:lineRule="auto"/>
      </w:pPr>
    </w:p>
    <w:p w:rsidR="00F20C05" w:rsidRPr="0074017C" w:rsidRDefault="00F20C05" w:rsidP="00DC10CD">
      <w:pPr>
        <w:pStyle w:val="ListParagraph"/>
        <w:numPr>
          <w:ilvl w:val="0"/>
          <w:numId w:val="14"/>
        </w:numPr>
        <w:spacing w:after="0" w:line="240" w:lineRule="auto"/>
        <w:rPr>
          <w:b/>
        </w:rPr>
      </w:pPr>
      <w:r w:rsidRPr="0074017C">
        <w:rPr>
          <w:b/>
        </w:rPr>
        <w:t xml:space="preserve">Consider </w:t>
      </w:r>
      <w:r w:rsidR="00542B53" w:rsidRPr="0074017C">
        <w:rPr>
          <w:b/>
        </w:rPr>
        <w:t>expanding the list of comparator countries</w:t>
      </w:r>
      <w:r w:rsidR="00B47317">
        <w:rPr>
          <w:b/>
        </w:rPr>
        <w:t xml:space="preserve"> to include Serbia</w:t>
      </w:r>
      <w:r w:rsidR="00542B53" w:rsidRPr="0074017C">
        <w:rPr>
          <w:b/>
        </w:rPr>
        <w:t xml:space="preserve"> and calculating prices twice annually</w:t>
      </w:r>
    </w:p>
    <w:p w:rsidR="00A63B04" w:rsidRPr="0074017C" w:rsidRDefault="00A63B04" w:rsidP="00DC10CD">
      <w:pPr>
        <w:spacing w:after="0" w:line="240" w:lineRule="auto"/>
        <w:jc w:val="both"/>
      </w:pPr>
      <w:r w:rsidRPr="0074017C">
        <w:t xml:space="preserve">As was mentioned above, a number of CEE countries compare prices from more countries than Albania does. Expanding the list to other low priced countries and calculating prices twice annually to </w:t>
      </w:r>
      <w:r w:rsidR="00D869E2" w:rsidRPr="0074017C">
        <w:t>benefit from</w:t>
      </w:r>
      <w:r w:rsidRPr="0074017C">
        <w:t xml:space="preserve"> continuous price </w:t>
      </w:r>
      <w:r w:rsidR="00D869E2" w:rsidRPr="0074017C">
        <w:t>reductions</w:t>
      </w:r>
      <w:r w:rsidRPr="0074017C">
        <w:t xml:space="preserve"> in comparator countries could be a successful strategy in lowering Albanian prices that are comparably higher than what Croatia, Serbia and FYR Macedonia are paying, particularly having in mind Albania’s economic context. </w:t>
      </w:r>
      <w:r w:rsidR="00D869E2" w:rsidRPr="0074017C">
        <w:t xml:space="preserve">An alternative approach could be including a higher priced country with a wider set of reimbursed medicines, but reducing these for comparisons by a factor that would reflect the difference in GDP between the two countries. </w:t>
      </w:r>
    </w:p>
    <w:p w:rsidR="00A63B04" w:rsidRPr="0074017C" w:rsidRDefault="00A63B04"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 xml:space="preserve">Consider implementing price comparisons through an IT system </w:t>
      </w:r>
    </w:p>
    <w:p w:rsidR="0098493A" w:rsidRPr="0074017C" w:rsidRDefault="00C13CEF" w:rsidP="00DC10CD">
      <w:pPr>
        <w:spacing w:after="0" w:line="240" w:lineRule="auto"/>
        <w:jc w:val="both"/>
      </w:pPr>
      <w:r w:rsidRPr="0074017C">
        <w:t xml:space="preserve">International price comparisons are complex to implement as prices of thousands of same and similar packs from several countries have to be compared immaculately. Implementing price comparisons through an IT system would reduce the possibility of error and </w:t>
      </w:r>
      <w:r w:rsidR="00863F37" w:rsidRPr="0074017C">
        <w:t>corruption</w:t>
      </w:r>
      <w:r w:rsidRPr="0074017C">
        <w:t>, enable swift calculations of future savings and document the entire administrative procedure. Switching international price comparisons to IT at the Croatian Health Insurance Fund reduced the length of the procedure, and increased its efficiency and transparency.</w:t>
      </w:r>
    </w:p>
    <w:p w:rsidR="00D869E2" w:rsidRPr="0074017C" w:rsidRDefault="00D869E2" w:rsidP="00DC10CD">
      <w:pPr>
        <w:spacing w:after="0" w:line="240" w:lineRule="auto"/>
        <w:jc w:val="both"/>
        <w:rPr>
          <w:b/>
        </w:rPr>
      </w:pPr>
    </w:p>
    <w:p w:rsidR="00D869E2" w:rsidRPr="0074017C" w:rsidRDefault="00D869E2" w:rsidP="00DC10CD">
      <w:pPr>
        <w:spacing w:after="0" w:line="240" w:lineRule="auto"/>
        <w:jc w:val="both"/>
        <w:rPr>
          <w:b/>
        </w:rPr>
      </w:pPr>
    </w:p>
    <w:p w:rsidR="00F20C05" w:rsidRPr="0074017C" w:rsidRDefault="00542B53" w:rsidP="00DC10CD">
      <w:pPr>
        <w:pStyle w:val="Heading2"/>
        <w:spacing w:before="0" w:line="240" w:lineRule="auto"/>
      </w:pPr>
      <w:bookmarkStart w:id="23" w:name="_Toc391556320"/>
      <w:r w:rsidRPr="0074017C">
        <w:t>Reimbursement</w:t>
      </w:r>
      <w:bookmarkEnd w:id="23"/>
    </w:p>
    <w:p w:rsidR="00542B53" w:rsidRPr="0074017C" w:rsidRDefault="00542B53" w:rsidP="00DC10CD">
      <w:pPr>
        <w:spacing w:after="0" w:line="240" w:lineRule="auto"/>
      </w:pPr>
    </w:p>
    <w:p w:rsidR="00542B53" w:rsidRPr="0074017C" w:rsidRDefault="00542B53" w:rsidP="00DC10CD">
      <w:pPr>
        <w:pStyle w:val="ListParagraph"/>
        <w:numPr>
          <w:ilvl w:val="0"/>
          <w:numId w:val="14"/>
        </w:numPr>
        <w:spacing w:after="0" w:line="240" w:lineRule="auto"/>
        <w:jc w:val="both"/>
      </w:pPr>
      <w:r w:rsidRPr="0074017C">
        <w:rPr>
          <w:b/>
        </w:rPr>
        <w:t>Consider redefining the reimbursement decision making methodology and due process in more detail for prescription medicines and expensive outpatient medicines</w:t>
      </w:r>
      <w:r w:rsidR="00807D18" w:rsidRPr="0074017C">
        <w:t>(does not apply for generic copies of already reimbursed products where the application should be as simple as possible)</w:t>
      </w:r>
    </w:p>
    <w:p w:rsidR="00542B53" w:rsidRPr="0074017C" w:rsidRDefault="00DF5DB6" w:rsidP="00DC10CD">
      <w:pPr>
        <w:spacing w:after="0" w:line="240" w:lineRule="auto"/>
        <w:jc w:val="both"/>
      </w:pPr>
      <w:r w:rsidRPr="0074017C">
        <w:lastRenderedPageBreak/>
        <w:t xml:space="preserve">The current Albanian reimbursement due process and decision making methodology </w:t>
      </w:r>
      <w:r w:rsidR="009C6CA6" w:rsidRPr="0074017C">
        <w:t>could be better</w:t>
      </w:r>
      <w:r w:rsidRPr="0074017C">
        <w:t xml:space="preserve"> defined. While it would not be rational to expect that a full blown health technology assessment process of the scope NICE (UK National Institute of Clinical Excellence) or SMC (Scottish Medicines Consortium) engage in can be easily and shortly developed and implemented, a lot can be </w:t>
      </w:r>
      <w:r w:rsidR="009C6CA6" w:rsidRPr="0074017C">
        <w:t>improved</w:t>
      </w:r>
      <w:r w:rsidRPr="0074017C">
        <w:t xml:space="preserve"> in a very short while by better defining </w:t>
      </w:r>
      <w:r w:rsidR="00220123" w:rsidRPr="0074017C">
        <w:t xml:space="preserve">rules and </w:t>
      </w:r>
      <w:r w:rsidRPr="0074017C">
        <w:t xml:space="preserve">documentation that companies have to submit when applying for reimbursement. </w:t>
      </w:r>
      <w:r w:rsidR="00DA19E1" w:rsidRPr="0074017C">
        <w:t xml:space="preserve">The system should be made as transparent as possible – ideally applications and decisions should be published on the HIF’s website. </w:t>
      </w:r>
      <w:r w:rsidRPr="0074017C">
        <w:t>Minimal required documentation could include:</w:t>
      </w:r>
    </w:p>
    <w:p w:rsidR="009C6CA6" w:rsidRPr="0074017C" w:rsidRDefault="00807D18" w:rsidP="00DC10CD">
      <w:pPr>
        <w:pStyle w:val="ListParagraph"/>
        <w:numPr>
          <w:ilvl w:val="0"/>
          <w:numId w:val="18"/>
        </w:numPr>
        <w:spacing w:after="0" w:line="240" w:lineRule="auto"/>
        <w:jc w:val="both"/>
      </w:pPr>
      <w:r w:rsidRPr="0074017C">
        <w:t xml:space="preserve">Albanian </w:t>
      </w:r>
      <w:r w:rsidR="009C6CA6" w:rsidRPr="0074017C">
        <w:t xml:space="preserve">marketing </w:t>
      </w:r>
      <w:r w:rsidR="00E054FE" w:rsidRPr="0074017C">
        <w:t>authorization</w:t>
      </w:r>
      <w:r w:rsidR="009C6CA6" w:rsidRPr="0074017C">
        <w:t>, the Summary of Product Characteristics and the Patient Information Leaflet;</w:t>
      </w:r>
    </w:p>
    <w:p w:rsidR="009A2F68" w:rsidRPr="0074017C" w:rsidRDefault="009A2F68" w:rsidP="00DC10CD">
      <w:pPr>
        <w:pStyle w:val="ListParagraph"/>
        <w:numPr>
          <w:ilvl w:val="0"/>
          <w:numId w:val="18"/>
        </w:numPr>
        <w:spacing w:after="0" w:line="240" w:lineRule="auto"/>
        <w:jc w:val="both"/>
      </w:pPr>
      <w:r w:rsidRPr="0074017C">
        <w:t>pharmacodynamic properties, pharmacokinetic properties, posology, adverse reactions and interactions, special remarks: contra-indications, pregnancy, lactation, influence on psychophysical abilities, administration in renal and hepatic insufficiency and in special age groups;</w:t>
      </w:r>
    </w:p>
    <w:p w:rsidR="009C6CA6" w:rsidRPr="0074017C" w:rsidRDefault="009C6CA6" w:rsidP="00DC10CD">
      <w:pPr>
        <w:pStyle w:val="ListParagraph"/>
        <w:numPr>
          <w:ilvl w:val="0"/>
          <w:numId w:val="18"/>
        </w:numPr>
        <w:spacing w:after="0" w:line="240" w:lineRule="auto"/>
        <w:jc w:val="both"/>
      </w:pPr>
      <w:r w:rsidRPr="0074017C">
        <w:t>calculation of the price in line with national legislation</w:t>
      </w:r>
      <w:r w:rsidR="00807D18" w:rsidRPr="0074017C">
        <w:t>;</w:t>
      </w:r>
    </w:p>
    <w:p w:rsidR="009C6CA6" w:rsidRPr="0074017C" w:rsidRDefault="00807D18" w:rsidP="00DC10CD">
      <w:pPr>
        <w:pStyle w:val="ListParagraph"/>
        <w:numPr>
          <w:ilvl w:val="0"/>
          <w:numId w:val="18"/>
        </w:numPr>
        <w:spacing w:after="0" w:line="240" w:lineRule="auto"/>
        <w:jc w:val="both"/>
      </w:pPr>
      <w:r w:rsidRPr="0074017C">
        <w:t>s</w:t>
      </w:r>
      <w:r w:rsidR="009C6CA6" w:rsidRPr="0074017C">
        <w:t>cientific evidence demonstrating the advantages of the medicinal product for suggested indication(s) over the comparators, and primarily over medicinal products already included in</w:t>
      </w:r>
      <w:r w:rsidR="00B47317">
        <w:t xml:space="preserve"> the</w:t>
      </w:r>
      <w:r w:rsidR="009C6CA6" w:rsidRPr="0074017C">
        <w:t xml:space="preserve"> reim</w:t>
      </w:r>
      <w:r w:rsidRPr="0074017C">
        <w:t xml:space="preserve">bursement list of the Health Insurance Fund; ideally </w:t>
      </w:r>
      <w:r w:rsidR="00AE1E5A" w:rsidRPr="0074017C">
        <w:t>meta-</w:t>
      </w:r>
      <w:r w:rsidR="009C6CA6" w:rsidRPr="0074017C">
        <w:t xml:space="preserve">analysis or a systematic review of randomized controlled trials published in indexed professional and scientific journals or exceptionally at least one or more randomized controlled trials published in indexed professional and scientific journals </w:t>
      </w:r>
    </w:p>
    <w:p w:rsidR="009A2F68" w:rsidRPr="0074017C" w:rsidRDefault="009A2F68" w:rsidP="00DC10CD">
      <w:pPr>
        <w:pStyle w:val="ListParagraph"/>
        <w:numPr>
          <w:ilvl w:val="0"/>
          <w:numId w:val="18"/>
        </w:numPr>
        <w:spacing w:after="0" w:line="240" w:lineRule="auto"/>
        <w:jc w:val="both"/>
      </w:pPr>
      <w:r w:rsidRPr="0074017C">
        <w:t>description of the current clinical practice in Albania by indication for which the application has been submitted and for which medicinal products already included in the HIF’s lists are used, along with comments on efficacy and safety;</w:t>
      </w:r>
    </w:p>
    <w:p w:rsidR="009A2F68" w:rsidRPr="0074017C" w:rsidRDefault="009A2F68" w:rsidP="00DC10CD">
      <w:pPr>
        <w:pStyle w:val="ListParagraph"/>
        <w:numPr>
          <w:ilvl w:val="0"/>
          <w:numId w:val="18"/>
        </w:numPr>
        <w:spacing w:after="0" w:line="240" w:lineRule="auto"/>
        <w:jc w:val="both"/>
      </w:pPr>
      <w:r w:rsidRPr="0074017C">
        <w:t>description and analysis o</w:t>
      </w:r>
      <w:r w:rsidR="00F9423A" w:rsidRPr="0074017C">
        <w:t>f the effect of the</w:t>
      </w:r>
      <w:r w:rsidRPr="0074017C">
        <w:t xml:space="preserve"> change of pharmacological therapy and the assessment of other changes in patient healthcare resulting from the inclusion of the medicinal product in the list (including the use of compl</w:t>
      </w:r>
      <w:r w:rsidR="00F9423A" w:rsidRPr="0074017C">
        <w:t>ementary products and services);</w:t>
      </w:r>
    </w:p>
    <w:p w:rsidR="009A2F68" w:rsidRPr="0074017C" w:rsidRDefault="009A2F68" w:rsidP="00DC10CD">
      <w:pPr>
        <w:pStyle w:val="ListParagraph"/>
        <w:numPr>
          <w:ilvl w:val="0"/>
          <w:numId w:val="18"/>
        </w:numPr>
        <w:spacing w:after="0" w:line="240" w:lineRule="auto"/>
        <w:jc w:val="both"/>
      </w:pPr>
      <w:r w:rsidRPr="0074017C">
        <w:t>a tabular comparative presentation of the price of the therapy with the medicinal product with the price of the therapy of the same indication with medicinal products included in the HIF’s reimbursement list for which an application has been submitted in the appropriate time interval (disease episode, annually, etc.);</w:t>
      </w:r>
    </w:p>
    <w:p w:rsidR="009C6CA6" w:rsidRPr="0074017C" w:rsidRDefault="00807D18" w:rsidP="00DC10CD">
      <w:pPr>
        <w:pStyle w:val="ListParagraph"/>
        <w:numPr>
          <w:ilvl w:val="0"/>
          <w:numId w:val="18"/>
        </w:numPr>
        <w:spacing w:after="0" w:line="240" w:lineRule="auto"/>
        <w:jc w:val="both"/>
      </w:pPr>
      <w:r w:rsidRPr="0074017C">
        <w:t xml:space="preserve">budget impact analysis on the HIF’s expenditure </w:t>
      </w:r>
      <w:r w:rsidR="009A2F68" w:rsidRPr="0074017C">
        <w:t xml:space="preserve">on medicines and the HIF’s overall expenditure </w:t>
      </w:r>
      <w:r w:rsidRPr="0074017C">
        <w:t>prepared in line with ISPOR</w:t>
      </w:r>
      <w:r w:rsidR="008E77FD" w:rsidRPr="0074017C">
        <w:t xml:space="preserve"> (International Society For Pharmacoeconomics and Outcomes Research)</w:t>
      </w:r>
      <w:r w:rsidRPr="0074017C">
        <w:t xml:space="preserve"> guidelines</w:t>
      </w:r>
      <w:r w:rsidR="00863F37" w:rsidRPr="0074017C">
        <w:rPr>
          <w:rStyle w:val="FootnoteReference"/>
        </w:rPr>
        <w:footnoteReference w:id="27"/>
      </w:r>
      <w:r w:rsidR="00FD06F3" w:rsidRPr="0074017C">
        <w:t>;</w:t>
      </w:r>
    </w:p>
    <w:p w:rsidR="00FD06F3" w:rsidRPr="0074017C" w:rsidRDefault="00FD06F3" w:rsidP="00DC10CD">
      <w:pPr>
        <w:pStyle w:val="ListParagraph"/>
        <w:numPr>
          <w:ilvl w:val="0"/>
          <w:numId w:val="18"/>
        </w:numPr>
        <w:spacing w:after="0" w:line="240" w:lineRule="auto"/>
        <w:jc w:val="both"/>
      </w:pPr>
      <w:r w:rsidRPr="0074017C">
        <w:t>tabular presentation of the status in health insurance or healthcare system of all Member States of the European Union, including reimbursed indications, amount covered by the compulsory health insurance of each State, amount of surcharges and other information relevant for financing of the medicinal product in individual Member States;</w:t>
      </w:r>
    </w:p>
    <w:p w:rsidR="00FD06F3" w:rsidRPr="0074017C" w:rsidRDefault="00FD06F3" w:rsidP="00DC10CD">
      <w:pPr>
        <w:pStyle w:val="ListParagraph"/>
        <w:numPr>
          <w:ilvl w:val="0"/>
          <w:numId w:val="18"/>
        </w:numPr>
        <w:spacing w:after="0" w:line="240" w:lineRule="auto"/>
        <w:jc w:val="both"/>
      </w:pPr>
      <w:r w:rsidRPr="0074017C">
        <w:t>if available, a decision or opinion about financing of the medicinal product issued by the competent authority in England (NICE) and Scotland (SMC) engaged in the assessment of healthcare technology, along with indica</w:t>
      </w:r>
      <w:r w:rsidR="00F9423A" w:rsidRPr="0074017C">
        <w:t>tions and instructions for use;</w:t>
      </w:r>
    </w:p>
    <w:p w:rsidR="009A2F68" w:rsidRPr="0074017C" w:rsidRDefault="009A2F68" w:rsidP="00DC10CD">
      <w:pPr>
        <w:pStyle w:val="ListParagraph"/>
        <w:numPr>
          <w:ilvl w:val="0"/>
          <w:numId w:val="18"/>
        </w:numPr>
        <w:spacing w:after="0" w:line="240" w:lineRule="auto"/>
        <w:jc w:val="both"/>
      </w:pPr>
      <w:r w:rsidRPr="0074017C">
        <w:t>therapeutic guidelines of American and European expert associations for indications for which an application has been submitted;</w:t>
      </w:r>
    </w:p>
    <w:p w:rsidR="009C6CA6" w:rsidRPr="0074017C" w:rsidRDefault="00807D18" w:rsidP="00DC10CD">
      <w:pPr>
        <w:pStyle w:val="ListParagraph"/>
        <w:numPr>
          <w:ilvl w:val="0"/>
          <w:numId w:val="18"/>
        </w:numPr>
        <w:tabs>
          <w:tab w:val="left" w:pos="1430"/>
        </w:tabs>
        <w:spacing w:after="0" w:line="240" w:lineRule="auto"/>
        <w:jc w:val="both"/>
      </w:pPr>
      <w:r w:rsidRPr="0074017C">
        <w:t xml:space="preserve">optionally, </w:t>
      </w:r>
      <w:r w:rsidR="009C6CA6" w:rsidRPr="0074017C">
        <w:t xml:space="preserve"> the applicant may also enclose </w:t>
      </w:r>
      <w:r w:rsidRPr="0074017C">
        <w:t>a</w:t>
      </w:r>
      <w:r w:rsidR="009C6CA6" w:rsidRPr="0074017C">
        <w:t xml:space="preserve"> cost efficiency analysis;</w:t>
      </w:r>
    </w:p>
    <w:p w:rsidR="009A2F68" w:rsidRPr="0074017C" w:rsidRDefault="009A2F68" w:rsidP="00DC10CD">
      <w:pPr>
        <w:spacing w:after="0" w:line="240" w:lineRule="auto"/>
      </w:pPr>
    </w:p>
    <w:p w:rsidR="009A2F68" w:rsidRPr="0074017C" w:rsidRDefault="009A2F68" w:rsidP="00DC10CD">
      <w:pPr>
        <w:spacing w:after="0" w:line="240" w:lineRule="auto"/>
      </w:pPr>
      <w:r w:rsidRPr="0074017C">
        <w:t>Due process should be aligned to the European Union’s Transparency directive</w:t>
      </w:r>
      <w:r w:rsidRPr="0074017C">
        <w:rPr>
          <w:rStyle w:val="FootnoteReference"/>
        </w:rPr>
        <w:footnoteReference w:id="28"/>
      </w:r>
    </w:p>
    <w:p w:rsidR="00821573" w:rsidRPr="0074017C" w:rsidRDefault="00821573" w:rsidP="00DC10CD">
      <w:pPr>
        <w:spacing w:after="0" w:line="240" w:lineRule="auto"/>
        <w:ind w:left="360"/>
      </w:pPr>
    </w:p>
    <w:p w:rsidR="00542B53" w:rsidRPr="0074017C" w:rsidRDefault="00542B53" w:rsidP="00DC10CD">
      <w:pPr>
        <w:pStyle w:val="ListParagraph"/>
        <w:numPr>
          <w:ilvl w:val="0"/>
          <w:numId w:val="14"/>
        </w:numPr>
        <w:spacing w:after="0" w:line="240" w:lineRule="auto"/>
        <w:rPr>
          <w:b/>
        </w:rPr>
      </w:pPr>
      <w:r w:rsidRPr="0074017C">
        <w:rPr>
          <w:b/>
        </w:rPr>
        <w:lastRenderedPageBreak/>
        <w:t>Consider defining the reimbursement decision making methodology and due process for hospital medicines</w:t>
      </w:r>
    </w:p>
    <w:p w:rsidR="006606EF" w:rsidRPr="0074017C" w:rsidRDefault="00101EDA" w:rsidP="00DC10CD">
      <w:pPr>
        <w:spacing w:after="0" w:line="240" w:lineRule="auto"/>
        <w:jc w:val="both"/>
      </w:pPr>
      <w:r w:rsidRPr="0074017C">
        <w:t>The current system of reimbursing medicines used in hospitals should be fully aligned to the process suggested above for prescription medicines and expensive outpatient medicines</w:t>
      </w:r>
      <w:r w:rsidR="00DA19E1" w:rsidRPr="0074017C">
        <w:t xml:space="preserve"> in which pharmaceutical companies apply for reimbursement</w:t>
      </w:r>
      <w:r w:rsidRPr="0074017C">
        <w:t xml:space="preserve">. </w:t>
      </w:r>
      <w:r w:rsidR="00DA19E1" w:rsidRPr="0074017C">
        <w:t xml:space="preserve">The administration of both processes should be handled by a single organization and decision making should be handled by a single committee. </w:t>
      </w:r>
      <w:r w:rsidR="003374B7" w:rsidRPr="0074017C">
        <w:t>Use of hospital medicines is highly interlinked to the use of prescription medicines and developing sufficient capacity to process the applications and reach quality decisions at two different institutions in a country the size of Albania may not be realistic.</w:t>
      </w:r>
    </w:p>
    <w:p w:rsidR="006606EF" w:rsidRPr="0074017C" w:rsidRDefault="00ED1F10" w:rsidP="006606EF">
      <w:pPr>
        <w:pStyle w:val="ListParagraph"/>
        <w:numPr>
          <w:ilvl w:val="0"/>
          <w:numId w:val="14"/>
        </w:numPr>
        <w:spacing w:after="0" w:line="240" w:lineRule="auto"/>
        <w:jc w:val="both"/>
        <w:rPr>
          <w:b/>
        </w:rPr>
      </w:pPr>
      <w:r w:rsidRPr="0074017C">
        <w:rPr>
          <w:b/>
        </w:rPr>
        <w:t>Consider</w:t>
      </w:r>
      <w:r w:rsidR="00964A6D" w:rsidRPr="0074017C">
        <w:rPr>
          <w:b/>
        </w:rPr>
        <w:t>investing</w:t>
      </w:r>
      <w:r w:rsidR="006606EF" w:rsidRPr="0074017C">
        <w:rPr>
          <w:b/>
        </w:rPr>
        <w:t xml:space="preserve"> in building resources for Health technology assessment (HTA)</w:t>
      </w:r>
    </w:p>
    <w:p w:rsidR="0038385C" w:rsidRPr="0074017C" w:rsidRDefault="00964A6D" w:rsidP="006606EF">
      <w:pPr>
        <w:spacing w:after="0" w:line="240" w:lineRule="auto"/>
        <w:jc w:val="both"/>
      </w:pPr>
      <w:r w:rsidRPr="0074017C">
        <w:t>Health technology assessment (HTA) is the systematic evaluation of properties, effects, and/or impacts of health technology. Its main purpose is to inform technology-related policy-making in health care, and thus improve the uptake of cost-effective new technologies and prevent the uptake of technologies that are of doubtful value for the health system.</w:t>
      </w:r>
      <w:r w:rsidR="006606EF" w:rsidRPr="0074017C">
        <w:t>Developing a full scale HTA</w:t>
      </w:r>
      <w:r w:rsidRPr="0074017C">
        <w:t xml:space="preserve"> system including staff able to evaluate cost effectiveness/utility analyses that would be submitted by industry requires substantial time and investment. In addition, detailed data on epidemiology, resources, clinical practice etc. should be publicly available so thatcompanies would be able to produce analyses. The above mentioned requires substantial time </w:t>
      </w:r>
      <w:r w:rsidR="0038385C" w:rsidRPr="0074017C">
        <w:t xml:space="preserve">and </w:t>
      </w:r>
      <w:r w:rsidRPr="0074017C">
        <w:t xml:space="preserve">investment in human resources. </w:t>
      </w:r>
    </w:p>
    <w:p w:rsidR="006606EF" w:rsidRPr="0074017C" w:rsidRDefault="00964A6D" w:rsidP="006606EF">
      <w:pPr>
        <w:spacing w:after="0" w:line="240" w:lineRule="auto"/>
        <w:jc w:val="both"/>
      </w:pPr>
      <w:r w:rsidRPr="0074017C">
        <w:t xml:space="preserve">For these reasons, </w:t>
      </w:r>
      <w:r w:rsidR="0038385C" w:rsidRPr="0074017C">
        <w:t>in addition to investing in building resources as a mid term policy goal, in the short term Albania should consider taking into account HTAs produced in other countries. NICE and SMC publish their single and multiple technology assessments online. That said, comparisons should be made with great caution as prices, resources, clinical practice, etc. vary substantially between Albania and the UK. Nevertheless, if a high-income country finds that a particular health technology is not cost-effective, it is unlikely to be cost-effective in a low- and middle-income setting either</w:t>
      </w:r>
      <w:r w:rsidR="0073113C" w:rsidRPr="0074017C">
        <w:rPr>
          <w:rStyle w:val="FootnoteReference"/>
        </w:rPr>
        <w:footnoteReference w:id="29"/>
      </w:r>
      <w:r w:rsidR="0038385C" w:rsidRPr="0074017C">
        <w:t xml:space="preserve">. </w:t>
      </w:r>
    </w:p>
    <w:p w:rsidR="0038385C" w:rsidRPr="0074017C" w:rsidRDefault="0038385C" w:rsidP="006606EF">
      <w:pPr>
        <w:spacing w:after="0" w:line="240" w:lineRule="auto"/>
        <w:jc w:val="both"/>
      </w:pPr>
    </w:p>
    <w:p w:rsidR="00542B53" w:rsidRPr="0074017C" w:rsidRDefault="00542B53" w:rsidP="00DC10CD">
      <w:pPr>
        <w:pStyle w:val="ListParagraph"/>
        <w:numPr>
          <w:ilvl w:val="0"/>
          <w:numId w:val="14"/>
        </w:numPr>
        <w:spacing w:after="0" w:line="240" w:lineRule="auto"/>
        <w:rPr>
          <w:b/>
        </w:rPr>
      </w:pPr>
      <w:r w:rsidRPr="0074017C">
        <w:rPr>
          <w:b/>
        </w:rPr>
        <w:t xml:space="preserve">Consider introducing </w:t>
      </w:r>
      <w:r w:rsidR="00DC6579" w:rsidRPr="0074017C">
        <w:rPr>
          <w:b/>
        </w:rPr>
        <w:t xml:space="preserve">larger </w:t>
      </w:r>
      <w:r w:rsidRPr="0074017C">
        <w:rPr>
          <w:b/>
        </w:rPr>
        <w:t>mandatory reimbursement price cuts for generic medicines</w:t>
      </w:r>
      <w:r w:rsidR="00085FE6" w:rsidRPr="0074017C">
        <w:rPr>
          <w:b/>
        </w:rPr>
        <w:t xml:space="preserve"> that seek reimbursement</w:t>
      </w:r>
    </w:p>
    <w:p w:rsidR="00D560CD" w:rsidRPr="0074017C" w:rsidRDefault="00D560CD" w:rsidP="00DC10CD">
      <w:pPr>
        <w:spacing w:after="0" w:line="240" w:lineRule="auto"/>
        <w:jc w:val="both"/>
      </w:pPr>
      <w:r w:rsidRPr="0074017C">
        <w:t>As was mentioned above, most CEE</w:t>
      </w:r>
      <w:r w:rsidR="00341CDD" w:rsidRPr="0074017C">
        <w:t xml:space="preserve"> countries have introduced mandatory reimbursement price cuts for generic </w:t>
      </w:r>
      <w:r w:rsidR="00085FE6" w:rsidRPr="0074017C">
        <w:t>copies</w:t>
      </w:r>
      <w:r w:rsidR="00E7113E" w:rsidRPr="0074017C">
        <w:t xml:space="preserve"> seeking reimbursement</w:t>
      </w:r>
      <w:r w:rsidR="00341CDD" w:rsidRPr="0074017C">
        <w:t xml:space="preserve">. </w:t>
      </w:r>
      <w:r w:rsidRPr="0074017C">
        <w:t xml:space="preserve">This, combined with ATC level 5 internal reference pricing (already in use in Albania), is a powerful mechanisms for reducing reimbursed prices of medicines.  </w:t>
      </w:r>
    </w:p>
    <w:p w:rsidR="00542B53" w:rsidRPr="0074017C" w:rsidRDefault="00542B53" w:rsidP="00DC10CD">
      <w:pPr>
        <w:pStyle w:val="ListParagraph"/>
        <w:spacing w:after="0" w:line="240" w:lineRule="auto"/>
      </w:pPr>
    </w:p>
    <w:p w:rsidR="00542B53" w:rsidRPr="0074017C" w:rsidRDefault="00542B53" w:rsidP="00DC10CD">
      <w:pPr>
        <w:pStyle w:val="ListParagraph"/>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Consider introducing mandatory reimbursement price cuts for me too medicines</w:t>
      </w:r>
      <w:r w:rsidR="00085FE6" w:rsidRPr="0074017C">
        <w:rPr>
          <w:b/>
        </w:rPr>
        <w:t xml:space="preserve"> that seek reimbursement</w:t>
      </w:r>
    </w:p>
    <w:p w:rsidR="001543EE" w:rsidRPr="0074017C" w:rsidRDefault="00D560CD" w:rsidP="00DC10CD">
      <w:pPr>
        <w:spacing w:after="0" w:line="240" w:lineRule="auto"/>
        <w:jc w:val="both"/>
      </w:pPr>
      <w:r w:rsidRPr="0074017C">
        <w:t xml:space="preserve">As was mentioned above, a large number of CEE countries </w:t>
      </w:r>
      <w:r w:rsidR="001543EE" w:rsidRPr="0074017C">
        <w:t>reference price</w:t>
      </w:r>
      <w:r w:rsidRPr="0074017C">
        <w:t xml:space="preserve"> medicines according to therapeutic value. Similar to</w:t>
      </w:r>
      <w:r w:rsidR="00085FE6" w:rsidRPr="0074017C">
        <w:t xml:space="preserve"> the mechanism proposed for generic medicines, the HIF could</w:t>
      </w:r>
      <w:r w:rsidR="001543EE" w:rsidRPr="0074017C">
        <w:t xml:space="preserve"> condition reimbursing products with same or similar therapeutic and pharmacological properties </w:t>
      </w:r>
      <w:r w:rsidR="00242CD3" w:rsidRPr="0074017C">
        <w:t xml:space="preserve">(me too medicines) </w:t>
      </w:r>
      <w:r w:rsidR="001543EE" w:rsidRPr="0074017C">
        <w:t xml:space="preserve">to those already reimbursed on companies accepting lower reimbursement prices </w:t>
      </w:r>
      <w:r w:rsidR="007C72F4" w:rsidRPr="0074017C">
        <w:t xml:space="preserve">compared </w:t>
      </w:r>
      <w:r w:rsidR="001543EE" w:rsidRPr="0074017C">
        <w:t xml:space="preserve">to already reimbursed competitors. </w:t>
      </w:r>
      <w:r w:rsidR="007C72F4" w:rsidRPr="0074017C">
        <w:t xml:space="preserve">This would lower the cost of treatment for illnesses that are already treated by reimbursed products. </w:t>
      </w:r>
    </w:p>
    <w:p w:rsidR="00542B53" w:rsidRPr="0074017C" w:rsidRDefault="00542B53" w:rsidP="00DC10CD">
      <w:pPr>
        <w:pStyle w:val="ListParagraph"/>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 xml:space="preserve">Consider reference pricing various strengths of INNs </w:t>
      </w:r>
    </w:p>
    <w:p w:rsidR="00BE510B" w:rsidRPr="0074017C" w:rsidRDefault="007C72F4" w:rsidP="00DC10CD">
      <w:pPr>
        <w:spacing w:after="0" w:line="240" w:lineRule="auto"/>
        <w:jc w:val="both"/>
      </w:pPr>
      <w:r w:rsidRPr="0074017C">
        <w:t xml:space="preserve">Having in mind the </w:t>
      </w:r>
      <w:r w:rsidR="00BE510B" w:rsidRPr="0074017C">
        <w:t xml:space="preserve">abundant </w:t>
      </w:r>
      <w:r w:rsidRPr="0074017C">
        <w:t>substantial differences in prices of same strengths of single INNs (both in e</w:t>
      </w:r>
      <w:r w:rsidR="009737F5" w:rsidRPr="0074017C">
        <w:t xml:space="preserve">xpected and absurd directions, </w:t>
      </w:r>
      <w:r w:rsidRPr="0074017C">
        <w:t xml:space="preserve">i.e. greater strengths costing less than smaller strengths), the HIF </w:t>
      </w:r>
      <w:r w:rsidRPr="0074017C">
        <w:lastRenderedPageBreak/>
        <w:t>should consider reference pricing various strengths of single INNs according to LEK per defined daily dose</w:t>
      </w:r>
      <w:r w:rsidR="00AD4254" w:rsidRPr="0074017C">
        <w:t xml:space="preserve"> calculations</w:t>
      </w:r>
      <w:r w:rsidRPr="0074017C">
        <w:t>.</w:t>
      </w:r>
      <w:r w:rsidR="00BE510B" w:rsidRPr="0074017C">
        <w:t xml:space="preserve"> This data will serve as powerful arguments for price reducing negotiations with pharmaceutical companies. Having in mind the scale and presence of differences, fast and substantial savings could be made. A rule should be discussed on </w:t>
      </w:r>
      <w:r w:rsidR="00242616" w:rsidRPr="0074017C">
        <w:t xml:space="preserve">possibly establishing </w:t>
      </w:r>
      <w:r w:rsidR="00BE510B" w:rsidRPr="0074017C">
        <w:t>allowed percentage difference</w:t>
      </w:r>
      <w:r w:rsidR="00242616" w:rsidRPr="0074017C">
        <w:t>s</w:t>
      </w:r>
      <w:r w:rsidR="00BE510B" w:rsidRPr="0074017C">
        <w:t xml:space="preserve"> in LEK paid for DDD</w:t>
      </w:r>
      <w:r w:rsidR="00242616" w:rsidRPr="0074017C">
        <w:t>s</w:t>
      </w:r>
      <w:r w:rsidR="00BE510B" w:rsidRPr="0074017C">
        <w:t xml:space="preserve"> for various strengths</w:t>
      </w:r>
      <w:r w:rsidR="00242616" w:rsidRPr="0074017C">
        <w:t xml:space="preserve"> of different INNs</w:t>
      </w:r>
      <w:r w:rsidR="00BE510B" w:rsidRPr="0074017C">
        <w:t>.</w:t>
      </w:r>
      <w:r w:rsidR="009737F5" w:rsidRPr="0074017C">
        <w:t xml:space="preserve"> Prices in other countries should be analyzed for informed decision making. </w:t>
      </w:r>
    </w:p>
    <w:p w:rsidR="00542B53" w:rsidRPr="0074017C" w:rsidRDefault="00542B53" w:rsidP="00DC10CD">
      <w:pPr>
        <w:spacing w:after="0" w:line="240" w:lineRule="auto"/>
        <w:jc w:val="both"/>
      </w:pPr>
    </w:p>
    <w:p w:rsidR="00542B53" w:rsidRPr="0074017C" w:rsidRDefault="00542B53" w:rsidP="00DC10CD">
      <w:pPr>
        <w:pStyle w:val="ListParagraph"/>
        <w:numPr>
          <w:ilvl w:val="0"/>
          <w:numId w:val="14"/>
        </w:numPr>
        <w:spacing w:after="0" w:line="240" w:lineRule="auto"/>
        <w:rPr>
          <w:b/>
        </w:rPr>
      </w:pPr>
      <w:r w:rsidRPr="0074017C">
        <w:rPr>
          <w:b/>
        </w:rPr>
        <w:t>Consider reference pricing combination tablets</w:t>
      </w:r>
    </w:p>
    <w:p w:rsidR="00542B53" w:rsidRPr="0074017C" w:rsidRDefault="009737F5" w:rsidP="00DC10CD">
      <w:pPr>
        <w:spacing w:after="0" w:line="240" w:lineRule="auto"/>
        <w:jc w:val="both"/>
      </w:pPr>
      <w:r w:rsidRPr="0074017C">
        <w:t xml:space="preserve">The HIF should consider referencing reimbursed prices of combination tablets versus individual components. There are no rational reasons why combination tablets should be reimbursed at a higher level compared to individual components.  </w:t>
      </w:r>
    </w:p>
    <w:p w:rsidR="009737F5" w:rsidRPr="0074017C" w:rsidRDefault="009737F5"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Consider reference pricing me too medicines in selected groups at ATC level 4</w:t>
      </w:r>
    </w:p>
    <w:p w:rsidR="007C72F4" w:rsidRPr="0074017C" w:rsidRDefault="009737F5" w:rsidP="00DC10CD">
      <w:pPr>
        <w:spacing w:after="0" w:line="240" w:lineRule="auto"/>
        <w:jc w:val="both"/>
      </w:pPr>
      <w:r w:rsidRPr="0074017C">
        <w:t xml:space="preserve">As discussed above, a number of CEE countries reference reimbursed prices of </w:t>
      </w:r>
      <w:r w:rsidR="00830470" w:rsidRPr="0074017C">
        <w:t>therapeutically similar</w:t>
      </w:r>
      <w:r w:rsidRPr="0074017C">
        <w:t xml:space="preserve"> medicines, in major part using relatively simple price per DDD calculations. The HIF should consider the same, at least for a limited number of high expenditure groups or groups that have high expenditure growth potential. </w:t>
      </w:r>
      <w:r w:rsidR="00830470" w:rsidRPr="0074017C">
        <w:t>It is important to note that similar strengths and packs should be compared between different INNs. Popular “jumbo groups” for internal price referencing include statins, beta blocking agents, sartans</w:t>
      </w:r>
      <w:r w:rsidR="00242CD3" w:rsidRPr="0074017C">
        <w:t xml:space="preserve"> (ARBs)</w:t>
      </w:r>
      <w:r w:rsidR="00830470" w:rsidRPr="0074017C">
        <w:t xml:space="preserve">, proton pump inhibitors, </w:t>
      </w:r>
      <w:r w:rsidR="00E7113E" w:rsidRPr="0074017C">
        <w:t>insulins, oral antidiabetics, diuretics, ACE inhibitors, antibiotics, etc.</w:t>
      </w:r>
    </w:p>
    <w:p w:rsidR="009737F5" w:rsidRPr="0074017C" w:rsidRDefault="009737F5" w:rsidP="00DC10CD">
      <w:pPr>
        <w:spacing w:after="0" w:line="240" w:lineRule="auto"/>
      </w:pPr>
    </w:p>
    <w:p w:rsidR="007C72F4" w:rsidRPr="0074017C" w:rsidRDefault="007C72F4" w:rsidP="00DC10CD">
      <w:pPr>
        <w:pStyle w:val="ListParagraph"/>
        <w:numPr>
          <w:ilvl w:val="0"/>
          <w:numId w:val="14"/>
        </w:numPr>
        <w:spacing w:after="0" w:line="240" w:lineRule="auto"/>
        <w:rPr>
          <w:b/>
        </w:rPr>
      </w:pPr>
      <w:r w:rsidRPr="0074017C">
        <w:rPr>
          <w:b/>
        </w:rPr>
        <w:t>Consider updating the reimbursement list quarterly</w:t>
      </w:r>
    </w:p>
    <w:p w:rsidR="007C72F4" w:rsidRPr="0074017C" w:rsidRDefault="007C72F4" w:rsidP="00DC10CD">
      <w:pPr>
        <w:spacing w:after="0" w:line="240" w:lineRule="auto"/>
      </w:pPr>
      <w:r w:rsidRPr="0074017C">
        <w:t xml:space="preserve">More regular updating of the list would broaden therapeutic options for doctors and patients, but would also speed the positive price effects of proposed price reducing measures.  </w:t>
      </w:r>
    </w:p>
    <w:p w:rsidR="00542B53" w:rsidRPr="0074017C" w:rsidRDefault="00542B53"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Consider tendering selected groups of prescription medicines</w:t>
      </w:r>
    </w:p>
    <w:p w:rsidR="00AD18D3" w:rsidRPr="0074017C" w:rsidRDefault="00EC3E62" w:rsidP="00DC10CD">
      <w:pPr>
        <w:spacing w:after="0" w:line="240" w:lineRule="auto"/>
        <w:jc w:val="both"/>
      </w:pPr>
      <w:r w:rsidRPr="0074017C">
        <w:t>An alternative to ATC level 5 reference pricing may be tendering certain high expenditure groups of medicines that have plenty registered generic variants in Albania in order to guarantee market comp</w:t>
      </w:r>
      <w:r w:rsidR="00AD18D3" w:rsidRPr="0074017C">
        <w:t>etition. Whereas tendering procedures are widely used in the hospital sector, in the last couple of years they are also being rolled out in ambulatory care in an increasing number of European countries with a view to constraining pharmaceutical expenditure.</w:t>
      </w:r>
    </w:p>
    <w:p w:rsidR="00AD18D3" w:rsidRPr="0074017C" w:rsidRDefault="00AD18D3" w:rsidP="00DC10CD">
      <w:pPr>
        <w:spacing w:after="0" w:line="240" w:lineRule="auto"/>
        <w:jc w:val="both"/>
      </w:pPr>
      <w:r w:rsidRPr="0074017C">
        <w:t xml:space="preserve">Significant </w:t>
      </w:r>
      <w:r w:rsidR="00080CA2" w:rsidRPr="0074017C">
        <w:t xml:space="preserve">short term </w:t>
      </w:r>
      <w:r w:rsidRPr="0074017C">
        <w:t xml:space="preserve">pharmaceutical budget savings can be achieved from tenders. </w:t>
      </w:r>
      <w:r w:rsidR="009A1531" w:rsidRPr="0074017C">
        <w:t xml:space="preserve">However, sound financial guarantees have to be demanded from companies to ensure uninterrupted </w:t>
      </w:r>
      <w:r w:rsidR="001100B7" w:rsidRPr="0074017C">
        <w:t>delivery</w:t>
      </w:r>
      <w:r w:rsidR="009A1531" w:rsidRPr="0074017C">
        <w:t xml:space="preserve"> of products. In addition, countries have had various experiences with tenders, for instance in Belgium </w:t>
      </w:r>
      <w:r w:rsidRPr="0074017C">
        <w:t xml:space="preserve">tendering produced </w:t>
      </w:r>
      <w:r w:rsidR="00080CA2" w:rsidRPr="0074017C">
        <w:t xml:space="preserve">massive </w:t>
      </w:r>
      <w:r w:rsidRPr="0074017C">
        <w:t xml:space="preserve">savings for </w:t>
      </w:r>
      <w:r w:rsidR="00080CA2" w:rsidRPr="0074017C">
        <w:t>simvastatin</w:t>
      </w:r>
      <w:r w:rsidRPr="0074017C">
        <w:t>, but these savings were offset by the fact that physicians switched their prescribing patterns to medicines with a similar therapeutic indication that did not fall under the tendering procedure, so-called ‘re-allocation of demand’, and total exp</w:t>
      </w:r>
      <w:r w:rsidR="009A1531" w:rsidRPr="0074017C">
        <w:t>enditure actually increased</w:t>
      </w:r>
      <w:r w:rsidR="00080CA2" w:rsidRPr="0074017C">
        <w:rPr>
          <w:rStyle w:val="FootnoteReference"/>
        </w:rPr>
        <w:footnoteReference w:id="30"/>
      </w:r>
      <w:r w:rsidRPr="0074017C">
        <w:t>.Countries that have implemented tendering procedures have sometimes witnessed a decrease in pharmaceutical investments, a slowdown in the development of the generic medicine market, short-term absences of some medicines due to logistic shortages, a reduction in pharmacist remuneration, and probl</w:t>
      </w:r>
      <w:r w:rsidR="00080CA2" w:rsidRPr="0074017C">
        <w:t>ems with patient compliance</w:t>
      </w:r>
      <w:r w:rsidR="00080CA2" w:rsidRPr="0074017C">
        <w:rPr>
          <w:rStyle w:val="FootnoteReference"/>
        </w:rPr>
        <w:footnoteReference w:id="31"/>
      </w:r>
      <w:r w:rsidRPr="0074017C">
        <w:t xml:space="preserve">. </w:t>
      </w:r>
    </w:p>
    <w:p w:rsidR="00080CA2" w:rsidRPr="0074017C" w:rsidRDefault="00080CA2" w:rsidP="00DC10CD">
      <w:pPr>
        <w:spacing w:after="0" w:line="240" w:lineRule="auto"/>
        <w:jc w:val="both"/>
      </w:pPr>
    </w:p>
    <w:p w:rsidR="00E3388D" w:rsidRPr="0074017C" w:rsidRDefault="00542B53" w:rsidP="00DC10CD">
      <w:pPr>
        <w:pStyle w:val="ListParagraph"/>
        <w:numPr>
          <w:ilvl w:val="0"/>
          <w:numId w:val="14"/>
        </w:numPr>
        <w:spacing w:after="0" w:line="240" w:lineRule="auto"/>
        <w:rPr>
          <w:b/>
        </w:rPr>
      </w:pPr>
      <w:r w:rsidRPr="0074017C">
        <w:rPr>
          <w:b/>
        </w:rPr>
        <w:lastRenderedPageBreak/>
        <w:t>Consider introducing mandatory managed entry agreements for all expensive medicines – both prescription and hospital</w:t>
      </w:r>
      <w:r w:rsidR="00E60C86" w:rsidRPr="0074017C">
        <w:rPr>
          <w:b/>
        </w:rPr>
        <w:t xml:space="preserve"> and stop tendering patented hospital medicines</w:t>
      </w:r>
    </w:p>
    <w:p w:rsidR="00E3388D" w:rsidRPr="0074017C" w:rsidRDefault="00E3388D" w:rsidP="00DC10CD">
      <w:pPr>
        <w:pStyle w:val="ListParagraph"/>
        <w:spacing w:after="0" w:line="240" w:lineRule="auto"/>
      </w:pPr>
    </w:p>
    <w:p w:rsidR="00E60C86" w:rsidRPr="0074017C" w:rsidRDefault="00D87100" w:rsidP="00DC10CD">
      <w:pPr>
        <w:spacing w:after="0" w:line="240" w:lineRule="auto"/>
        <w:jc w:val="both"/>
      </w:pPr>
      <w:r w:rsidRPr="0074017C">
        <w:t>Albania should consider introducing managed entry agreements. As was already discussed, f</w:t>
      </w:r>
      <w:r w:rsidR="00E3388D" w:rsidRPr="0074017C">
        <w:t xml:space="preserve">ormal arrangements between payers and manufacturers with the aim of sharing the financial risk due </w:t>
      </w:r>
      <w:r w:rsidRPr="0074017C">
        <w:t>t</w:t>
      </w:r>
      <w:r w:rsidR="00E3388D" w:rsidRPr="0074017C">
        <w:t xml:space="preserve">o uncertainty surrounding the introduction of new technologies have been developed and introduced in </w:t>
      </w:r>
      <w:r w:rsidRPr="0074017C">
        <w:t xml:space="preserve">most European countries in </w:t>
      </w:r>
      <w:r w:rsidR="00E3388D" w:rsidRPr="0074017C">
        <w:t>order to enable access to new medicines</w:t>
      </w:r>
      <w:r w:rsidR="00242CD3" w:rsidRPr="0074017C">
        <w:t xml:space="preserve"> and control expenditure</w:t>
      </w:r>
      <w:r w:rsidR="00E3388D" w:rsidRPr="0074017C">
        <w:t xml:space="preserve">. </w:t>
      </w:r>
      <w:r w:rsidRPr="0074017C">
        <w:t xml:space="preserve">One of the consequences of these agreements established in other countries is that published prices that Albania takes into consideration during international price comparisons in effect overstate what they are really paying – leading to too high Albanian prices. </w:t>
      </w:r>
      <w:r w:rsidR="00E3388D" w:rsidRPr="0074017C">
        <w:t xml:space="preserve">These agreements can take different forms, including price-volume agreements (PVAs), </w:t>
      </w:r>
      <w:r w:rsidRPr="0074017C">
        <w:t xml:space="preserve">financial discounts, discounts in goods, </w:t>
      </w:r>
      <w:r w:rsidR="00E3388D" w:rsidRPr="0074017C">
        <w:t>outcome guarantee</w:t>
      </w:r>
      <w:r w:rsidR="00242CD3" w:rsidRPr="0074017C">
        <w:t>s</w:t>
      </w:r>
      <w:r w:rsidR="00E3388D" w:rsidRPr="0074017C">
        <w:t xml:space="preserve">, disease management </w:t>
      </w:r>
      <w:r w:rsidR="001100B7" w:rsidRPr="0074017C">
        <w:t>programs</w:t>
      </w:r>
      <w:r w:rsidRPr="0074017C">
        <w:t>, etc</w:t>
      </w:r>
      <w:r w:rsidR="00E3388D" w:rsidRPr="0074017C">
        <w:t xml:space="preserve">. A variety of names have been used to describe these schemes (e.g. risk-sharing agreements (RSAs), performance-based agreements (PBAs), patient access schemes (PAS), etc.), which have been recently </w:t>
      </w:r>
      <w:r w:rsidR="001100B7" w:rsidRPr="0074017C">
        <w:t>summarized</w:t>
      </w:r>
      <w:r w:rsidR="00E3388D" w:rsidRPr="0074017C">
        <w:t xml:space="preserve"> with the concept of “managed entry agreements (MEAs)”.</w:t>
      </w:r>
    </w:p>
    <w:p w:rsidR="00E60C86" w:rsidRPr="0074017C" w:rsidRDefault="00E60C86" w:rsidP="00DC10CD">
      <w:pPr>
        <w:spacing w:after="0" w:line="240" w:lineRule="auto"/>
        <w:jc w:val="both"/>
      </w:pPr>
    </w:p>
    <w:p w:rsidR="00542B53" w:rsidRPr="00330A37" w:rsidRDefault="00E60C86" w:rsidP="00DC10CD">
      <w:pPr>
        <w:spacing w:after="0" w:line="240" w:lineRule="auto"/>
        <w:jc w:val="both"/>
        <w:rPr>
          <w:b/>
        </w:rPr>
      </w:pPr>
      <w:r w:rsidRPr="00330A37">
        <w:rPr>
          <w:b/>
        </w:rPr>
        <w:t xml:space="preserve">It is unlikely that tendering patented hospital medicines will be effective in reducing prices. If only national distributors are allowed to compete, no market competition can be expected. Even if distributors from other countries are allowed to apply (parallel import), substantially better prices can be negotiated through managed entry agreements. </w:t>
      </w:r>
    </w:p>
    <w:p w:rsidR="00E3388D" w:rsidRPr="0074017C" w:rsidRDefault="00D87100" w:rsidP="00DC10CD">
      <w:pPr>
        <w:tabs>
          <w:tab w:val="center" w:pos="4680"/>
        </w:tabs>
        <w:spacing w:after="0" w:line="240" w:lineRule="auto"/>
      </w:pPr>
      <w:r w:rsidRPr="0074017C">
        <w:tab/>
      </w:r>
    </w:p>
    <w:p w:rsidR="00D87100" w:rsidRPr="0074017C" w:rsidRDefault="00D87100" w:rsidP="00DC10CD">
      <w:pPr>
        <w:pStyle w:val="ListParagraph"/>
        <w:numPr>
          <w:ilvl w:val="0"/>
          <w:numId w:val="14"/>
        </w:numPr>
        <w:spacing w:after="0" w:line="240" w:lineRule="auto"/>
        <w:rPr>
          <w:b/>
        </w:rPr>
      </w:pPr>
      <w:r w:rsidRPr="0074017C">
        <w:rPr>
          <w:b/>
        </w:rPr>
        <w:t>Consider introducing cross product agreements for reimbursement of new medicines</w:t>
      </w:r>
    </w:p>
    <w:p w:rsidR="00807D18" w:rsidRPr="0074017C" w:rsidRDefault="00D87100" w:rsidP="00DC10CD">
      <w:pPr>
        <w:spacing w:after="0" w:line="240" w:lineRule="auto"/>
        <w:jc w:val="both"/>
      </w:pPr>
      <w:r w:rsidRPr="0074017C">
        <w:t>Albania should consider allowing companies to submit</w:t>
      </w:r>
      <w:r w:rsidR="00807D18" w:rsidRPr="0074017C">
        <w:t xml:space="preserve"> binding offer</w:t>
      </w:r>
      <w:r w:rsidRPr="0074017C">
        <w:t xml:space="preserve">s where the application </w:t>
      </w:r>
      <w:r w:rsidR="00807D18" w:rsidRPr="0074017C">
        <w:t xml:space="preserve">which refers to </w:t>
      </w:r>
      <w:r w:rsidRPr="0074017C">
        <w:t>a medicine</w:t>
      </w:r>
      <w:r w:rsidR="00807D18" w:rsidRPr="0074017C">
        <w:t xml:space="preserve"> considered by the </w:t>
      </w:r>
      <w:r w:rsidRPr="0074017C">
        <w:t xml:space="preserve">HIF for reimbursement </w:t>
      </w:r>
      <w:r w:rsidR="00807D18" w:rsidRPr="0074017C">
        <w:t xml:space="preserve">is connected with a parallel application for </w:t>
      </w:r>
      <w:r w:rsidR="00987F02" w:rsidRPr="0074017C">
        <w:t xml:space="preserve">the </w:t>
      </w:r>
      <w:r w:rsidR="00807D18" w:rsidRPr="0074017C">
        <w:t xml:space="preserve">reduction of a price of </w:t>
      </w:r>
      <w:r w:rsidRPr="0074017C">
        <w:t xml:space="preserve">an already reimbursed medicine. </w:t>
      </w:r>
      <w:r w:rsidR="00880221" w:rsidRPr="0074017C">
        <w:t xml:space="preserve">In this way, new therapies can be introduced without additional costs. </w:t>
      </w:r>
    </w:p>
    <w:p w:rsidR="00F3681C" w:rsidRPr="0074017C" w:rsidRDefault="00F3681C" w:rsidP="00DC10CD">
      <w:pPr>
        <w:spacing w:after="0" w:line="240" w:lineRule="auto"/>
        <w:jc w:val="both"/>
      </w:pPr>
    </w:p>
    <w:p w:rsidR="00987F02" w:rsidRPr="0074017C" w:rsidRDefault="00987F02" w:rsidP="00DC10CD">
      <w:pPr>
        <w:spacing w:after="0" w:line="240" w:lineRule="auto"/>
        <w:jc w:val="both"/>
      </w:pPr>
    </w:p>
    <w:p w:rsidR="00542B53" w:rsidRPr="0074017C" w:rsidRDefault="00542B53" w:rsidP="00DC10CD">
      <w:pPr>
        <w:pStyle w:val="Heading2"/>
        <w:spacing w:before="0" w:line="240" w:lineRule="auto"/>
      </w:pPr>
      <w:bookmarkStart w:id="24" w:name="_Toc391556321"/>
      <w:r w:rsidRPr="0074017C">
        <w:t>Prescribing</w:t>
      </w:r>
      <w:bookmarkEnd w:id="24"/>
    </w:p>
    <w:p w:rsidR="00542B53" w:rsidRPr="0074017C" w:rsidRDefault="00542B53"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Consider regulating promotion conducted by pharmaceutical companies</w:t>
      </w:r>
    </w:p>
    <w:p w:rsidR="00BA0C9D" w:rsidRPr="0074017C" w:rsidRDefault="00BA0C9D" w:rsidP="00DC10CD">
      <w:pPr>
        <w:spacing w:after="0" w:line="240" w:lineRule="auto"/>
        <w:jc w:val="both"/>
      </w:pPr>
      <w:r w:rsidRPr="0074017C">
        <w:t xml:space="preserve">Albania should consider regulating the relationship between pharmaceutical companies and doctors. The regulation should seek to ensure that pharmaceutical companies conduct promotion and interaction in a truthful manner, avoiding deceptive practices and potential conflicts of interest with healthcare professionals. Regulation should set fundamental rules and cover activities such as medicine advertising in medical publications, contacts with sales representatives and the supply of samples, gifts and hospitality. Mandatory collection of data on financial transactions, hospitality, gifts etc. should also be considered. </w:t>
      </w:r>
    </w:p>
    <w:p w:rsidR="00542B53" w:rsidRPr="0074017C" w:rsidRDefault="00542B53"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 xml:space="preserve">Consider educating prescribers on rational </w:t>
      </w:r>
      <w:r w:rsidR="00BA0C9D" w:rsidRPr="0074017C">
        <w:rPr>
          <w:b/>
        </w:rPr>
        <w:t>use of medicines</w:t>
      </w:r>
    </w:p>
    <w:p w:rsidR="00DC10CD" w:rsidRPr="0074017C" w:rsidRDefault="00BA0C9D" w:rsidP="00DC10CD">
      <w:pPr>
        <w:spacing w:after="0" w:line="240" w:lineRule="auto"/>
        <w:jc w:val="both"/>
      </w:pPr>
      <w:r w:rsidRPr="0074017C">
        <w:t>Albania should consider investing in education for prescribers on rational use of medicines. Rational use of medicines requires that "patients receive medications appropriate to their clinical needs, in doses that meet their own individual requirements, for an adequate period of time, and at the lowest cost to them and their community". Irrational use of medicines is a major problem worldwide. WHO estimates that more than half of all medicines are prescribed, dispensed or sold inappropriately, and that half of all patients fail to take them correctly</w:t>
      </w:r>
      <w:r w:rsidRPr="0074017C">
        <w:rPr>
          <w:rStyle w:val="FootnoteReference"/>
        </w:rPr>
        <w:footnoteReference w:id="32"/>
      </w:r>
      <w:r w:rsidRPr="0074017C">
        <w:t xml:space="preserve">. The overuse, underuse or misuse of medicines results in wastage of scarce resources and widespread health hazards. </w:t>
      </w:r>
      <w:r w:rsidR="00542B53" w:rsidRPr="0074017C">
        <w:t xml:space="preserve">Peer groups, visitations, </w:t>
      </w:r>
      <w:r w:rsidRPr="0074017C">
        <w:t xml:space="preserve">case reviews by </w:t>
      </w:r>
      <w:r w:rsidR="00542B53" w:rsidRPr="0074017C">
        <w:lastRenderedPageBreak/>
        <w:t>clinical pharmacologists</w:t>
      </w:r>
      <w:r w:rsidRPr="0074017C">
        <w:t>, etc. are most often forms in which rational use of medicines is promoted internationally.</w:t>
      </w:r>
    </w:p>
    <w:p w:rsidR="00542B53" w:rsidRPr="0074017C" w:rsidRDefault="00542B53" w:rsidP="00DC10CD">
      <w:pPr>
        <w:spacing w:after="0" w:line="240" w:lineRule="auto"/>
        <w:jc w:val="both"/>
      </w:pPr>
    </w:p>
    <w:p w:rsidR="008E0865" w:rsidRPr="0074017C" w:rsidRDefault="00DC10CD" w:rsidP="00DC10CD">
      <w:pPr>
        <w:pStyle w:val="ListParagraph"/>
        <w:numPr>
          <w:ilvl w:val="0"/>
          <w:numId w:val="14"/>
        </w:numPr>
        <w:spacing w:after="0" w:line="240" w:lineRule="auto"/>
        <w:rPr>
          <w:b/>
        </w:rPr>
      </w:pPr>
      <w:r w:rsidRPr="0074017C">
        <w:rPr>
          <w:b/>
        </w:rPr>
        <w:t>Consider benchmarking GPs according to prescription indicators</w:t>
      </w:r>
    </w:p>
    <w:p w:rsidR="00DC10CD" w:rsidRPr="0074017C" w:rsidRDefault="00DC10CD" w:rsidP="00DC10CD">
      <w:pPr>
        <w:spacing w:after="0" w:line="240" w:lineRule="auto"/>
        <w:jc w:val="both"/>
      </w:pPr>
      <w:r w:rsidRPr="0074017C">
        <w:t xml:space="preserve">Albania should consider benchmarking GPs according to prescription indicators for high spending groups of medicines and those that have high growth of expenditure potential. Possible indicators could include overall expenditure on groups of medicines or average cost by prescription (adjusted by number and age structure of patients), proportion of lowest copayment generic copies dispensed by pharmacists, ARBs as percentage of all renin-angiotensin prescriptions by volume, DDDs prescribed of hypnotics and anxiolytics per 1000 patients, low cost statins as percentage of all prescribed statins, </w:t>
      </w:r>
      <w:r w:rsidR="00FB3FE1" w:rsidRPr="0074017C">
        <w:t>etc.</w:t>
      </w:r>
    </w:p>
    <w:p w:rsidR="00DC10CD" w:rsidRPr="0074017C" w:rsidRDefault="00DC10CD" w:rsidP="00DC10CD">
      <w:pPr>
        <w:spacing w:after="0" w:line="240" w:lineRule="auto"/>
      </w:pPr>
    </w:p>
    <w:p w:rsidR="00F35B06" w:rsidRPr="0074017C" w:rsidRDefault="00F35B06" w:rsidP="00DC10CD">
      <w:pPr>
        <w:pStyle w:val="ListParagraph"/>
        <w:numPr>
          <w:ilvl w:val="0"/>
          <w:numId w:val="14"/>
        </w:numPr>
        <w:spacing w:after="0" w:line="240" w:lineRule="auto"/>
        <w:rPr>
          <w:b/>
        </w:rPr>
      </w:pPr>
      <w:r w:rsidRPr="0074017C">
        <w:rPr>
          <w:b/>
        </w:rPr>
        <w:t>Consider introducing stricter control on adherence to prescribing guidelines for GPs</w:t>
      </w:r>
    </w:p>
    <w:p w:rsidR="008E0865" w:rsidRPr="0074017C" w:rsidRDefault="000D0A14" w:rsidP="00DC10CD">
      <w:pPr>
        <w:spacing w:after="0" w:line="240" w:lineRule="auto"/>
        <w:jc w:val="both"/>
      </w:pPr>
      <w:r w:rsidRPr="0074017C">
        <w:t xml:space="preserve">While the HIF already publishes mandatory prescribing guidelines/protocols for reimbursed prescription medicines, it is unclear to what extent this is matter is actually controlled. Regional experience suggests that HIF staff usually lack knowledge and time for comprehensive control of prescribers. Focusing attention on high expenditure GPs </w:t>
      </w:r>
      <w:r w:rsidR="00242CD3" w:rsidRPr="0074017C">
        <w:t xml:space="preserve">and molecules </w:t>
      </w:r>
      <w:r w:rsidRPr="0074017C">
        <w:t xml:space="preserve">should be considered, as well as appropriate financial punishments for non-abiding prescribers.  </w:t>
      </w:r>
    </w:p>
    <w:p w:rsidR="000D0A14" w:rsidRPr="0074017C" w:rsidRDefault="000D0A14" w:rsidP="00DC10CD">
      <w:pPr>
        <w:spacing w:after="0" w:line="240" w:lineRule="auto"/>
        <w:jc w:val="both"/>
      </w:pPr>
    </w:p>
    <w:p w:rsidR="008E0865" w:rsidRPr="0074017C" w:rsidRDefault="008E0865" w:rsidP="00DC10CD">
      <w:pPr>
        <w:pStyle w:val="ListParagraph"/>
        <w:numPr>
          <w:ilvl w:val="0"/>
          <w:numId w:val="14"/>
        </w:numPr>
        <w:spacing w:after="0" w:line="240" w:lineRule="auto"/>
        <w:rPr>
          <w:b/>
        </w:rPr>
      </w:pPr>
      <w:r w:rsidRPr="0074017C">
        <w:rPr>
          <w:b/>
        </w:rPr>
        <w:t>Consider prohibiting specialists from recommending medicines using brand names</w:t>
      </w:r>
      <w:r w:rsidR="00C92626" w:rsidRPr="0074017C">
        <w:rPr>
          <w:b/>
        </w:rPr>
        <w:t xml:space="preserve"> and prescribing expensive hospital outpatient medicines by brand name</w:t>
      </w:r>
      <w:r w:rsidR="000D0A14" w:rsidRPr="0074017C">
        <w:rPr>
          <w:b/>
        </w:rPr>
        <w:t xml:space="preserve"> and specialists and GPs from prescribing non reimbursed medicines by branded names</w:t>
      </w:r>
    </w:p>
    <w:p w:rsidR="00783603" w:rsidRPr="0074017C" w:rsidRDefault="00C92626" w:rsidP="00DC10CD">
      <w:pPr>
        <w:spacing w:after="0" w:line="240" w:lineRule="auto"/>
        <w:jc w:val="both"/>
      </w:pPr>
      <w:r w:rsidRPr="0074017C">
        <w:t>Hospital specialists</w:t>
      </w:r>
      <w:r w:rsidR="000D0A14" w:rsidRPr="0074017C">
        <w:t xml:space="preserve"> commonly recommend branded products to patients (GPs prescribe in INN, but pharmacists dispense according to the specialist’s recommendation) and prescribe </w:t>
      </w:r>
      <w:r w:rsidRPr="0074017C">
        <w:t xml:space="preserve">expensive hospital outpatient medicines and </w:t>
      </w:r>
      <w:r w:rsidR="000D0A14" w:rsidRPr="0074017C">
        <w:t xml:space="preserve">non reimbursed medicines by branded name. The latter applies to GPs too. There is no rational reason why all prescribing and recommendations should not be in INN. </w:t>
      </w:r>
    </w:p>
    <w:p w:rsidR="00783603" w:rsidRPr="0074017C" w:rsidRDefault="00783603" w:rsidP="00DC10CD">
      <w:pPr>
        <w:pStyle w:val="ListParagraph"/>
        <w:spacing w:after="0" w:line="240" w:lineRule="auto"/>
      </w:pPr>
    </w:p>
    <w:p w:rsidR="00F35B06" w:rsidRPr="0074017C" w:rsidRDefault="00F35B06" w:rsidP="00DC10CD">
      <w:pPr>
        <w:pStyle w:val="ListParagraph"/>
        <w:numPr>
          <w:ilvl w:val="0"/>
          <w:numId w:val="14"/>
        </w:numPr>
        <w:spacing w:after="0" w:line="240" w:lineRule="auto"/>
        <w:rPr>
          <w:b/>
        </w:rPr>
      </w:pPr>
      <w:r w:rsidRPr="0074017C">
        <w:rPr>
          <w:b/>
        </w:rPr>
        <w:t xml:space="preserve">Consider introducing </w:t>
      </w:r>
      <w:r w:rsidR="00616B47" w:rsidRPr="0074017C">
        <w:rPr>
          <w:b/>
        </w:rPr>
        <w:t>clinical</w:t>
      </w:r>
      <w:r w:rsidRPr="0074017C">
        <w:rPr>
          <w:b/>
        </w:rPr>
        <w:t xml:space="preserve"> guidelines for expensive inpatient and outpatient hospital medicines</w:t>
      </w:r>
    </w:p>
    <w:p w:rsidR="00616B47" w:rsidRPr="0074017C" w:rsidRDefault="00616B47" w:rsidP="00DC10CD">
      <w:pPr>
        <w:spacing w:after="0" w:line="240" w:lineRule="auto"/>
        <w:jc w:val="both"/>
      </w:pPr>
      <w:r w:rsidRPr="0074017C">
        <w:t xml:space="preserve">Albania should consider introducing and promoting clinical guidelines for expensive medicines in order to </w:t>
      </w:r>
      <w:r w:rsidR="005F733A" w:rsidRPr="0074017C">
        <w:t>ensure</w:t>
      </w:r>
      <w:r w:rsidRPr="0074017C">
        <w:t xml:space="preserve"> standardization and quality of therapy for all patients. Clinical guidelines are recommendations on the appropriate treatment and care of people with specific diseases and conditions. Clinical guidelines should be based on the best available evidence. </w:t>
      </w:r>
      <w:r w:rsidR="005F733A" w:rsidRPr="0074017C">
        <w:t>Sense of o</w:t>
      </w:r>
      <w:r w:rsidRPr="0074017C">
        <w:t>wnership</w:t>
      </w:r>
      <w:r w:rsidR="005F733A" w:rsidRPr="0074017C">
        <w:t xml:space="preserve"> and adaptation to local circumstances (both economic and medical)are instrumental in ensuring adherence, so it is important to include national professional associations in the guideline creation process. International guidelines should </w:t>
      </w:r>
      <w:r w:rsidR="00242CD3" w:rsidRPr="0074017C">
        <w:t>definitely</w:t>
      </w:r>
      <w:r w:rsidR="005F733A" w:rsidRPr="0074017C">
        <w:t xml:space="preserve"> be consulted (NICE, European and American professional associations).</w:t>
      </w:r>
      <w:r w:rsidRPr="0074017C">
        <w:tab/>
      </w:r>
    </w:p>
    <w:p w:rsidR="00616B47" w:rsidRPr="0074017C" w:rsidRDefault="00616B47" w:rsidP="00DC10CD">
      <w:pPr>
        <w:spacing w:after="0" w:line="240" w:lineRule="auto"/>
      </w:pPr>
    </w:p>
    <w:p w:rsidR="00542B53" w:rsidRPr="0074017C" w:rsidRDefault="00542B53" w:rsidP="00DC10CD">
      <w:pPr>
        <w:pStyle w:val="Heading2"/>
        <w:spacing w:before="0" w:line="240" w:lineRule="auto"/>
      </w:pPr>
      <w:bookmarkStart w:id="25" w:name="_Toc391556322"/>
      <w:r w:rsidRPr="0074017C">
        <w:t>Dispensing</w:t>
      </w:r>
      <w:bookmarkEnd w:id="25"/>
    </w:p>
    <w:p w:rsidR="000169C4" w:rsidRPr="0074017C" w:rsidRDefault="000169C4" w:rsidP="00DC10CD">
      <w:pPr>
        <w:spacing w:after="0" w:line="240" w:lineRule="auto"/>
      </w:pPr>
    </w:p>
    <w:p w:rsidR="000169C4" w:rsidRPr="0074017C" w:rsidRDefault="000169C4" w:rsidP="00DC10CD">
      <w:pPr>
        <w:pStyle w:val="ListParagraph"/>
        <w:numPr>
          <w:ilvl w:val="0"/>
          <w:numId w:val="14"/>
        </w:numPr>
        <w:spacing w:after="0" w:line="240" w:lineRule="auto"/>
        <w:rPr>
          <w:b/>
        </w:rPr>
      </w:pPr>
      <w:r w:rsidRPr="0074017C">
        <w:rPr>
          <w:b/>
        </w:rPr>
        <w:t xml:space="preserve">Consider introducing regressive markups for </w:t>
      </w:r>
      <w:r w:rsidR="00B47317">
        <w:rPr>
          <w:b/>
        </w:rPr>
        <w:t xml:space="preserve">off patent </w:t>
      </w:r>
      <w:r w:rsidRPr="0074017C">
        <w:rPr>
          <w:b/>
        </w:rPr>
        <w:t>prescription medicines</w:t>
      </w:r>
      <w:r w:rsidR="001439F4" w:rsidRPr="0074017C">
        <w:rPr>
          <w:b/>
        </w:rPr>
        <w:t xml:space="preserve"> and allowing substitution of medicines prescribed by brand name only for a lower priced generic copy</w:t>
      </w:r>
    </w:p>
    <w:p w:rsidR="00542B53" w:rsidRPr="0074017C" w:rsidRDefault="00B3297C" w:rsidP="00DC10CD">
      <w:pPr>
        <w:spacing w:after="0" w:line="240" w:lineRule="auto"/>
        <w:jc w:val="both"/>
      </w:pPr>
      <w:r w:rsidRPr="0074017C">
        <w:t>The current 24% retail markup is stimulating pharmacists to dispense higher priced generic copies</w:t>
      </w:r>
      <w:r w:rsidR="001304F5" w:rsidRPr="0074017C">
        <w:t xml:space="preserve"> - the higher the total price of the medicine, the higher the markup for the pharmacists</w:t>
      </w:r>
      <w:r w:rsidRPr="0074017C">
        <w:t xml:space="preserve">. </w:t>
      </w:r>
      <w:r w:rsidR="001304F5" w:rsidRPr="0074017C">
        <w:t>In this way the HIF does not spend more as reimbursed prices are the same for all copies, but patients pay higher copayments. A</w:t>
      </w:r>
      <w:r w:rsidR="001439F4" w:rsidRPr="0074017C">
        <w:t>lbania should consider introducing a</w:t>
      </w:r>
      <w:r w:rsidR="001304F5" w:rsidRPr="0074017C">
        <w:t xml:space="preserve"> markup scale for prescription medicines including higher retail markups for less expensive copies and lower markups for more expensive copies </w:t>
      </w:r>
      <w:r w:rsidR="001439F4" w:rsidRPr="0074017C">
        <w:t xml:space="preserve">that </w:t>
      </w:r>
      <w:r w:rsidR="001304F5" w:rsidRPr="0074017C">
        <w:t>would financially stimulate pharmacists to dispense more affordable products.</w:t>
      </w:r>
      <w:r w:rsidR="001439F4" w:rsidRPr="0074017C">
        <w:t xml:space="preserve"> Switching from prescribed </w:t>
      </w:r>
      <w:r w:rsidR="001439F4" w:rsidRPr="0074017C">
        <w:lastRenderedPageBreak/>
        <w:t xml:space="preserve">branded name should also be allowedbut only for a cheaper copy. Implementation of this measure would not require any additional resources from the HIF as it is budget neutral. </w:t>
      </w:r>
    </w:p>
    <w:p w:rsidR="00616B47" w:rsidRPr="0074017C" w:rsidRDefault="00616B47" w:rsidP="00DC10CD">
      <w:pPr>
        <w:pStyle w:val="ListParagraph"/>
        <w:spacing w:after="0" w:line="240" w:lineRule="auto"/>
      </w:pPr>
    </w:p>
    <w:p w:rsidR="00542B53" w:rsidRPr="0074017C" w:rsidRDefault="00542B53" w:rsidP="00DC10CD">
      <w:pPr>
        <w:spacing w:after="0" w:line="240" w:lineRule="auto"/>
      </w:pPr>
    </w:p>
    <w:p w:rsidR="00542B53" w:rsidRPr="0074017C" w:rsidRDefault="00542B53" w:rsidP="00DC10CD">
      <w:pPr>
        <w:pStyle w:val="Heading2"/>
        <w:spacing w:before="0" w:line="240" w:lineRule="auto"/>
      </w:pPr>
      <w:bookmarkStart w:id="26" w:name="_Toc391556323"/>
      <w:r w:rsidRPr="0074017C">
        <w:t>Educating patients</w:t>
      </w:r>
      <w:bookmarkEnd w:id="26"/>
    </w:p>
    <w:p w:rsidR="00542B53" w:rsidRPr="0074017C" w:rsidRDefault="00542B53"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 xml:space="preserve">Consider public campaigns to assure patients of the quality of </w:t>
      </w:r>
      <w:r w:rsidR="00227B2F" w:rsidRPr="0074017C">
        <w:rPr>
          <w:b/>
        </w:rPr>
        <w:t xml:space="preserve">registered </w:t>
      </w:r>
      <w:r w:rsidRPr="0074017C">
        <w:rPr>
          <w:b/>
        </w:rPr>
        <w:t>generics</w:t>
      </w:r>
    </w:p>
    <w:p w:rsidR="00542B53" w:rsidRPr="0074017C" w:rsidRDefault="005D3A7C" w:rsidP="00DC10CD">
      <w:pPr>
        <w:spacing w:after="0" w:line="240" w:lineRule="auto"/>
        <w:jc w:val="both"/>
      </w:pPr>
      <w:r w:rsidRPr="0074017C">
        <w:t>Having in mind excessive consumption on copayments for overpriced originators (and too expensive generic versions), Albania should consider funding a promotional c</w:t>
      </w:r>
      <w:r w:rsidR="005F41C1" w:rsidRPr="0074017C">
        <w:t xml:space="preserve">ampaign that would assure the population of the quality of all medicines registered in the Albanian market – controlled by the National Centre for Drug Control. </w:t>
      </w:r>
    </w:p>
    <w:p w:rsidR="00542B53" w:rsidRPr="0074017C" w:rsidRDefault="00542B53" w:rsidP="00DC10CD">
      <w:pPr>
        <w:spacing w:after="0" w:line="240" w:lineRule="auto"/>
      </w:pPr>
    </w:p>
    <w:p w:rsidR="00542B53" w:rsidRPr="0074017C" w:rsidRDefault="00542B53" w:rsidP="00DC10CD">
      <w:pPr>
        <w:pStyle w:val="Heading2"/>
        <w:spacing w:before="0" w:line="240" w:lineRule="auto"/>
      </w:pPr>
      <w:bookmarkStart w:id="27" w:name="_Toc391556324"/>
      <w:r w:rsidRPr="0074017C">
        <w:t>Copayments</w:t>
      </w:r>
      <w:bookmarkEnd w:id="27"/>
    </w:p>
    <w:p w:rsidR="00542B53" w:rsidRPr="0074017C" w:rsidRDefault="00542B53" w:rsidP="00DC10CD">
      <w:pPr>
        <w:spacing w:after="0" w:line="240" w:lineRule="auto"/>
      </w:pPr>
    </w:p>
    <w:p w:rsidR="00542B53" w:rsidRPr="0074017C" w:rsidRDefault="00542B53" w:rsidP="00DC10CD">
      <w:pPr>
        <w:pStyle w:val="ListParagraph"/>
        <w:numPr>
          <w:ilvl w:val="0"/>
          <w:numId w:val="14"/>
        </w:numPr>
        <w:spacing w:after="0" w:line="240" w:lineRule="auto"/>
        <w:rPr>
          <w:b/>
        </w:rPr>
      </w:pPr>
      <w:r w:rsidRPr="0074017C">
        <w:rPr>
          <w:b/>
        </w:rPr>
        <w:t>Consider limiting copayments for reimbursed medicines</w:t>
      </w:r>
    </w:p>
    <w:p w:rsidR="00542B53" w:rsidRPr="0074017C" w:rsidRDefault="00E42418" w:rsidP="00DC10CD">
      <w:pPr>
        <w:spacing w:after="0" w:line="240" w:lineRule="auto"/>
        <w:jc w:val="both"/>
      </w:pPr>
      <w:r w:rsidRPr="0074017C">
        <w:t xml:space="preserve">In other countries of the region, pharmaceutical producers of generics compete on price more aggressively. This leads to smaller copayments for patients. This is not the case in Albania where many instances exist where copayments for certain generics/ originator products exceed over tenfold copayments on other reimbursed versions of the same INN. Albania should consider protecting its population from unnecessary expenditure by limiting copayments for medicines that seek reimbursement to a certain proportion of the least copayment of a reimbursed copy of the INN. </w:t>
      </w:r>
    </w:p>
    <w:p w:rsidR="00304A51" w:rsidRPr="0074017C" w:rsidRDefault="00304A51" w:rsidP="00DC10CD">
      <w:pPr>
        <w:spacing w:after="0" w:line="240" w:lineRule="auto"/>
      </w:pPr>
    </w:p>
    <w:p w:rsidR="00542B53" w:rsidRPr="0074017C" w:rsidRDefault="00542B53" w:rsidP="00DC10CD">
      <w:pPr>
        <w:pStyle w:val="Heading2"/>
        <w:spacing w:before="0" w:line="240" w:lineRule="auto"/>
      </w:pPr>
      <w:bookmarkStart w:id="28" w:name="_Toc391556325"/>
      <w:r w:rsidRPr="0074017C">
        <w:t>IT</w:t>
      </w:r>
      <w:bookmarkEnd w:id="28"/>
    </w:p>
    <w:p w:rsidR="00542B53" w:rsidRPr="0074017C" w:rsidRDefault="00542B53" w:rsidP="00DC10CD">
      <w:pPr>
        <w:spacing w:after="0" w:line="240" w:lineRule="auto"/>
      </w:pPr>
    </w:p>
    <w:p w:rsidR="00542B53" w:rsidRPr="0074017C" w:rsidRDefault="00783603" w:rsidP="00DC10CD">
      <w:pPr>
        <w:pStyle w:val="ListParagraph"/>
        <w:numPr>
          <w:ilvl w:val="0"/>
          <w:numId w:val="14"/>
        </w:numPr>
        <w:spacing w:after="0" w:line="240" w:lineRule="auto"/>
        <w:rPr>
          <w:b/>
        </w:rPr>
      </w:pPr>
      <w:r w:rsidRPr="0074017C">
        <w:rPr>
          <w:b/>
        </w:rPr>
        <w:t>Continue</w:t>
      </w:r>
      <w:r w:rsidR="00542B53" w:rsidRPr="0074017C">
        <w:rPr>
          <w:b/>
        </w:rPr>
        <w:t xml:space="preserve"> implementing ePrescriptions</w:t>
      </w:r>
      <w:r w:rsidRPr="0074017C">
        <w:rPr>
          <w:b/>
        </w:rPr>
        <w:t xml:space="preserve"> and Track and trace technology</w:t>
      </w:r>
    </w:p>
    <w:p w:rsidR="00542B53" w:rsidRPr="0074017C" w:rsidRDefault="00472268" w:rsidP="00DC10CD">
      <w:pPr>
        <w:spacing w:after="0" w:line="240" w:lineRule="auto"/>
        <w:jc w:val="both"/>
      </w:pPr>
      <w:r w:rsidRPr="0074017C">
        <w:t xml:space="preserve">Albania is set on implementing ePrescriptions and Track and trace technology for medicines. Both should be implemented as </w:t>
      </w:r>
      <w:r w:rsidR="00A444CF" w:rsidRPr="0074017C">
        <w:t xml:space="preserve">they will allow for far more timely and sophisticated control of the market, prevention of fraud, circulation of counterfeit medicines, etc. </w:t>
      </w:r>
    </w:p>
    <w:p w:rsidR="00542B53" w:rsidRPr="0074017C" w:rsidRDefault="00542B53" w:rsidP="00DC10CD">
      <w:pPr>
        <w:spacing w:after="0" w:line="240" w:lineRule="auto"/>
      </w:pPr>
    </w:p>
    <w:p w:rsidR="00AA7930" w:rsidRPr="0074017C" w:rsidRDefault="00AA7930" w:rsidP="00AA7930">
      <w:pPr>
        <w:pStyle w:val="Heading2"/>
      </w:pPr>
      <w:bookmarkStart w:id="29" w:name="_Toc391556326"/>
      <w:r w:rsidRPr="0074017C">
        <w:t>Access</w:t>
      </w:r>
      <w:bookmarkEnd w:id="29"/>
    </w:p>
    <w:p w:rsidR="00542B53" w:rsidRPr="0074017C" w:rsidRDefault="00542B53" w:rsidP="00DC10CD">
      <w:pPr>
        <w:pStyle w:val="ListParagraph"/>
        <w:numPr>
          <w:ilvl w:val="0"/>
          <w:numId w:val="14"/>
        </w:numPr>
        <w:spacing w:after="0" w:line="240" w:lineRule="auto"/>
        <w:rPr>
          <w:b/>
        </w:rPr>
      </w:pPr>
      <w:r w:rsidRPr="0074017C">
        <w:rPr>
          <w:b/>
        </w:rPr>
        <w:t xml:space="preserve">Consider </w:t>
      </w:r>
      <w:r w:rsidR="0082339C" w:rsidRPr="0074017C">
        <w:rPr>
          <w:b/>
        </w:rPr>
        <w:t xml:space="preserve">expanding the categories of insured relieved of contributions to include financially deprived who </w:t>
      </w:r>
      <w:r w:rsidR="00F353A0" w:rsidRPr="0074017C">
        <w:rPr>
          <w:b/>
        </w:rPr>
        <w:t>can’t</w:t>
      </w:r>
      <w:r w:rsidR="0082339C" w:rsidRPr="0074017C">
        <w:rPr>
          <w:b/>
        </w:rPr>
        <w:t xml:space="preserve"> afford copayments</w:t>
      </w:r>
      <w:r w:rsidR="006606EF" w:rsidRPr="0074017C">
        <w:rPr>
          <w:b/>
        </w:rPr>
        <w:t xml:space="preserve"> for </w:t>
      </w:r>
      <w:r w:rsidR="00964A6D" w:rsidRPr="0074017C">
        <w:rPr>
          <w:b/>
        </w:rPr>
        <w:t>all medicines or for a subset of essential medicines</w:t>
      </w:r>
    </w:p>
    <w:p w:rsidR="00764DFE" w:rsidRPr="0074017C" w:rsidRDefault="0082339C" w:rsidP="00764DFE">
      <w:pPr>
        <w:spacing w:after="0" w:line="240" w:lineRule="auto"/>
        <w:jc w:val="both"/>
      </w:pPr>
      <w:r w:rsidRPr="0074017C">
        <w:t>Copayments have internationally been proven to interfere with therapy compliance for financially deprived individuals</w:t>
      </w:r>
      <w:r w:rsidR="00964A6D" w:rsidRPr="0074017C">
        <w:rPr>
          <w:rStyle w:val="FootnoteReference"/>
        </w:rPr>
        <w:footnoteReference w:id="33"/>
      </w:r>
      <w:r w:rsidRPr="0074017C">
        <w:t xml:space="preserve">. </w:t>
      </w:r>
      <w:r w:rsidR="00A444CF" w:rsidRPr="0074017C">
        <w:t>Depending on financial circumstances and having in mind very low public expenditure on healthcare, Albania should consider</w:t>
      </w:r>
      <w:r w:rsidRPr="0074017C">
        <w:t xml:space="preserve"> expanding the categories of insured relieved of copayments to include financially deprived individuals who can’t afford them – either for all medicines or for a subset of</w:t>
      </w:r>
      <w:r w:rsidR="00A444CF" w:rsidRPr="0074017C">
        <w:t xml:space="preserve"> essential medicines.</w:t>
      </w:r>
      <w:r w:rsidR="00764DFE" w:rsidRPr="0074017C">
        <w:t>The additional short term cost could be offset by the implementation of a number of price reducing measures proposed in this report.</w:t>
      </w:r>
    </w:p>
    <w:p w:rsidR="00764DFE" w:rsidRPr="0074017C" w:rsidRDefault="00764DFE" w:rsidP="00DC10CD">
      <w:pPr>
        <w:spacing w:after="0" w:line="240" w:lineRule="auto"/>
        <w:jc w:val="both"/>
      </w:pPr>
    </w:p>
    <w:p w:rsidR="00764DFE" w:rsidRPr="0074017C" w:rsidRDefault="0082339C" w:rsidP="00DC10CD">
      <w:pPr>
        <w:spacing w:after="0" w:line="240" w:lineRule="auto"/>
        <w:jc w:val="both"/>
      </w:pPr>
      <w:r w:rsidRPr="0074017C">
        <w:t>The World Health Organization updates its list of essential medicines once every two years</w:t>
      </w:r>
      <w:r w:rsidR="00F353A0" w:rsidRPr="0074017C">
        <w:rPr>
          <w:rStyle w:val="FootnoteReference"/>
        </w:rPr>
        <w:footnoteReference w:id="34"/>
      </w:r>
      <w:r w:rsidRPr="0074017C">
        <w:t xml:space="preserve">.  Its </w:t>
      </w:r>
      <w:r w:rsidRPr="0074017C">
        <w:rPr>
          <w:bCs/>
        </w:rPr>
        <w:t>core list</w:t>
      </w:r>
      <w:r w:rsidRPr="0074017C">
        <w:t xml:space="preserve">presents a list of minimum medicine needs for a basic health‐care system, listing the most efficacious, safe and cost‐effective medicines for priority conditions. Priority conditions are selected on the basis of current and estimated future public health relevance, and potential for safe and cost‐effective </w:t>
      </w:r>
      <w:r w:rsidRPr="0074017C">
        <w:lastRenderedPageBreak/>
        <w:t xml:space="preserve">treatment. Its </w:t>
      </w:r>
      <w:r w:rsidRPr="0074017C">
        <w:rPr>
          <w:bCs/>
        </w:rPr>
        <w:t xml:space="preserve">complementary list </w:t>
      </w:r>
      <w:r w:rsidRPr="0074017C">
        <w:t>presents essential medicines for priority diseases, for which specialized diagnostic or monitori</w:t>
      </w:r>
      <w:r w:rsidRPr="0074017C">
        <w:rPr>
          <w:bCs/>
        </w:rPr>
        <w:t>n</w:t>
      </w:r>
      <w:r w:rsidRPr="0074017C">
        <w:t xml:space="preserve">g facilities, and/or specialist medical care, and/or specialist training are needed. In case of doubt medicines may also be listed as complementary on the basis of consistent higher costs or less attractive cost-effectiveness in a variety of settings. </w:t>
      </w:r>
    </w:p>
    <w:p w:rsidR="00764DFE" w:rsidRPr="0074017C" w:rsidRDefault="00764DFE" w:rsidP="00DC10CD">
      <w:pPr>
        <w:spacing w:after="0" w:line="240" w:lineRule="auto"/>
        <w:jc w:val="both"/>
      </w:pPr>
    </w:p>
    <w:p w:rsidR="00764DFE" w:rsidRPr="0074017C" w:rsidRDefault="00AB62A7" w:rsidP="00DC10CD">
      <w:pPr>
        <w:spacing w:after="0" w:line="240" w:lineRule="auto"/>
        <w:jc w:val="both"/>
      </w:pPr>
      <w:r w:rsidRPr="0074017C">
        <w:t xml:space="preserve">Depending on the choice of treatments to be free at the point of use, mid term and long term costs for the HIF </w:t>
      </w:r>
      <w:r w:rsidR="0082339C" w:rsidRPr="0074017C">
        <w:t>could</w:t>
      </w:r>
      <w:r w:rsidRPr="0074017C">
        <w:t xml:space="preserve"> actually be </w:t>
      </w:r>
      <w:r w:rsidR="00764DFE" w:rsidRPr="0074017C">
        <w:t xml:space="preserve">substantially </w:t>
      </w:r>
      <w:r w:rsidRPr="0074017C">
        <w:t>decreased due to avoiding costly complications of most NCDs that arise if patients are not treated.</w:t>
      </w:r>
      <w:r w:rsidR="00764DFE" w:rsidRPr="0074017C">
        <w:t xml:space="preserve"> This in particular applies to diseases such as hypertension, cardiovascular disease, </w:t>
      </w:r>
      <w:r w:rsidR="00B47317">
        <w:t xml:space="preserve">high cholesterol levels, </w:t>
      </w:r>
      <w:r w:rsidR="00764DFE" w:rsidRPr="0074017C">
        <w:t xml:space="preserve">diabetes, etc. </w:t>
      </w:r>
    </w:p>
    <w:p w:rsidR="00307B47" w:rsidRPr="0074017C" w:rsidRDefault="00307B47" w:rsidP="00DC10CD">
      <w:pPr>
        <w:spacing w:after="0" w:line="240" w:lineRule="auto"/>
        <w:jc w:val="both"/>
      </w:pPr>
    </w:p>
    <w:p w:rsidR="00307B47" w:rsidRPr="0074017C" w:rsidRDefault="00307B47" w:rsidP="00DC10CD">
      <w:pPr>
        <w:spacing w:after="0" w:line="240" w:lineRule="auto"/>
        <w:jc w:val="both"/>
      </w:pPr>
    </w:p>
    <w:p w:rsidR="00307B47" w:rsidRPr="0074017C" w:rsidRDefault="00307B47" w:rsidP="00DC10CD">
      <w:pPr>
        <w:spacing w:after="0" w:line="240" w:lineRule="auto"/>
        <w:jc w:val="both"/>
      </w:pPr>
    </w:p>
    <w:p w:rsidR="007379D7" w:rsidRDefault="007379D7">
      <w:pPr>
        <w:rPr>
          <w:rFonts w:asciiTheme="majorHAnsi" w:eastAsiaTheme="majorEastAsia" w:hAnsiTheme="majorHAnsi" w:cstheme="majorBidi"/>
          <w:b/>
          <w:bCs/>
          <w:color w:val="365F91" w:themeColor="accent1" w:themeShade="BF"/>
          <w:sz w:val="28"/>
          <w:szCs w:val="28"/>
        </w:rPr>
      </w:pPr>
      <w:r>
        <w:br w:type="page"/>
      </w:r>
    </w:p>
    <w:p w:rsidR="00307B47" w:rsidRPr="0074017C" w:rsidRDefault="00307B47" w:rsidP="00F72401">
      <w:pPr>
        <w:pStyle w:val="Heading1"/>
      </w:pPr>
      <w:bookmarkStart w:id="30" w:name="_Toc391556327"/>
      <w:r w:rsidRPr="0074017C">
        <w:lastRenderedPageBreak/>
        <w:t>Appendix 1 - Overview of pharmaceutical policies in CEE of interest for Albania</w:t>
      </w:r>
      <w:bookmarkEnd w:id="30"/>
    </w:p>
    <w:p w:rsidR="00307B47" w:rsidRPr="0074017C" w:rsidRDefault="00307B47" w:rsidP="00307B47">
      <w:pPr>
        <w:spacing w:after="0" w:line="240" w:lineRule="auto"/>
        <w:jc w:val="both"/>
        <w:rPr>
          <w:b/>
        </w:rPr>
      </w:pPr>
    </w:p>
    <w:p w:rsidR="00307B47" w:rsidRPr="0074017C" w:rsidRDefault="00307B47" w:rsidP="00307B47">
      <w:pPr>
        <w:spacing w:after="0" w:line="240" w:lineRule="auto"/>
        <w:jc w:val="both"/>
      </w:pPr>
      <w:r w:rsidRPr="0074017C">
        <w:t xml:space="preserve">Pricing and reimbursement of medicines in CEE is deeply influenced by policies implemented and developed in western EU member states. The region is composed of “new” EU member states, candidate countries and aspiring candidates. Thus, pricing and reimbursement systems in CEE have many common elements both to each other and to western EU countries. Implementation of these measures requires arangeofskillsandcapacities in order to be successful, such as a sound legal basis, political will, enforcementcapacity,managementskillsandsystemsto collect data for measuring both the baseline and impact of a given measure. However, as CEE countries generally have underdeveloped governance and management systems in the public sector, these have had variable success in restraining the growth of expenditure on medicines.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Although the EU’s Transparency directive (EU 89/195) stipulates basic rules in pricing and reimbursement procedures, member states can largely formulate policies independently. Recent European Commission's initiatives in the field of pricing and reimbursement seek to foster cooperation through the establishment of a structured dialogue between the competent national authorities and all relevant stakeholders. The core objective is not only to enhance the functioning of the Internal Market, but also to ensure that national systems achieve an adequate balance between cost-containment, pharmaceutical innovation and patients' access to medicines. Nevertheless, in CEE the focus has been mostly on cost containment. </w:t>
      </w:r>
    </w:p>
    <w:p w:rsidR="00307B47" w:rsidRPr="0074017C" w:rsidRDefault="00307B47" w:rsidP="00307B47">
      <w:pPr>
        <w:spacing w:after="0" w:line="240" w:lineRule="auto"/>
        <w:jc w:val="both"/>
      </w:pPr>
    </w:p>
    <w:p w:rsidR="00307B47" w:rsidRPr="0074017C" w:rsidRDefault="00307B47" w:rsidP="00307B47">
      <w:pPr>
        <w:spacing w:after="0" w:line="240" w:lineRule="auto"/>
        <w:jc w:val="both"/>
        <w:rPr>
          <w:b/>
        </w:rPr>
      </w:pPr>
    </w:p>
    <w:p w:rsidR="00307B47" w:rsidRPr="0074017C" w:rsidRDefault="00307B47" w:rsidP="00307B47">
      <w:pPr>
        <w:spacing w:after="0" w:line="240" w:lineRule="auto"/>
        <w:jc w:val="both"/>
        <w:rPr>
          <w:b/>
        </w:rPr>
      </w:pPr>
      <w:r w:rsidRPr="0074017C">
        <w:rPr>
          <w:b/>
        </w:rPr>
        <w:t>External reference pricing</w:t>
      </w:r>
    </w:p>
    <w:p w:rsidR="00307B47" w:rsidRPr="0074017C" w:rsidRDefault="00307B47" w:rsidP="00307B47">
      <w:pPr>
        <w:spacing w:after="0" w:line="240" w:lineRule="auto"/>
        <w:jc w:val="both"/>
      </w:pPr>
    </w:p>
    <w:p w:rsidR="00307B47" w:rsidRPr="0074017C" w:rsidRDefault="00307B47" w:rsidP="00307B47">
      <w:pPr>
        <w:pStyle w:val="Default"/>
        <w:jc w:val="both"/>
        <w:rPr>
          <w:sz w:val="14"/>
          <w:szCs w:val="14"/>
        </w:rPr>
      </w:pPr>
      <w:r w:rsidRPr="0074017C">
        <w:rPr>
          <w:sz w:val="22"/>
          <w:szCs w:val="22"/>
        </w:rPr>
        <w:t>External reference pricing (ERP), also known as international price comparisons, has become one of the most common cost-containment tools to reduce prices for in-patent pharmaceuticals in the EU member states. ERP is also applied worldwide with EU member states often used as reference countries by non-EU countries (e.g. Brazil, Jordan, South Africa, Japan, Turkey, Canada, and Australia).</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All European countries except the UK and Sweden (expected to reintroduce it in 2014!) apply international price comparisons either as the main systematic criterion or as a supportive argument for price negotiations</w:t>
      </w:r>
      <w:r w:rsidRPr="0074017C">
        <w:rPr>
          <w:rStyle w:val="FootnoteReference"/>
        </w:rPr>
        <w:footnoteReference w:id="35"/>
      </w:r>
      <w:r w:rsidRPr="0074017C">
        <w:t xml:space="preserve">. The CEE region follows suit. External price referencing is one the main criteria used for initial price setting for new medicines in most CEE countries under consideration for reimbursement and is regularly used for price recalculations of marketed products that are undertaken in various time cycles. Montenegro and Kosovo are the only exceptions. Countries predominantly regulate only the prices of reimbursed products.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When the pharmaceutical formulation of a drug in the reference country is different from the formulation approved in the referencing country, some countries do not take into account the different formulation for ERP (e.g. Latvia, Slovakia), while other countries (Croatia, Slovenia, Hungary, etc.) consider the different pharmaceutical formulation only if it is similar to the one approved (e.g. oral solid forms such as capsule versus tablet can be compared to each other but not to injectable forms).</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lastRenderedPageBreak/>
        <w:t xml:space="preserve">Bosnia and Herzegovinaconsults prices in Slovenia, Croatia and Serbia. If prices are not available in any of these, Austrian and Italian prices are taken into account. For new medicines seeking reimbursement, the regulator requires a discount at a variable rate from 0 to 10% from the average listed price in referenced countries. For reimbursed products, annual recalculation rules require lowering the prices to the same levels as described for medicines seeking reimbursement.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In Bulgaria, the price proposed by the manufacturer cannot exceed the equivalent of the lowest producer price of a drug on the reference markets of Denmark, Estonia, Finland, France, Greece, Italy, Lithuania, Portugal, Romania, Slovakia, Slovenia and Spain.Furthermore, a drug can now be placed on the Positive Drug List if it is reimbursed by national health insurance funds in at least five of 17 countries. These are Romania, France, Estonia, Greece, Slovakia, Lithuania, Portugal, Spain, Belgium, the Czech Republic, Poland, Latvia, Hungary, Italy, Finland, Denmark and Slovenia.</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Croatia compares prices to Slovenia, the Czech Republic and Italy. If not available in any of these, French and Spanish prices are consulted. For both products seeking reimbursement and those reimbursed, prices should not exceed the average price of INN in referenced countries.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Cyprus compares prices in Austria, Greece, France and Sweden. The maximum price should not be larger than the average. </w:t>
      </w:r>
    </w:p>
    <w:p w:rsidR="00307B47" w:rsidRPr="0074017C" w:rsidRDefault="00307B47" w:rsidP="00307B47">
      <w:pPr>
        <w:spacing w:after="0" w:line="240" w:lineRule="auto"/>
        <w:jc w:val="both"/>
      </w:pPr>
    </w:p>
    <w:p w:rsidR="00307B47" w:rsidRPr="0074017C" w:rsidRDefault="00307B47" w:rsidP="00307B47">
      <w:pPr>
        <w:autoSpaceDE w:val="0"/>
        <w:autoSpaceDN w:val="0"/>
        <w:adjustRightInd w:val="0"/>
        <w:spacing w:after="0" w:line="240" w:lineRule="auto"/>
        <w:jc w:val="both"/>
      </w:pPr>
      <w:r w:rsidRPr="0074017C">
        <w:rPr>
          <w:rFonts w:cstheme="minorHAnsi"/>
        </w:rPr>
        <w:t>In the Czech Republic, the maximum price of a certain pharmaceutical is set as the average of 3 lowest prices of this pharmaceutical found in the reference basket (reference basket states – All EU countries except for Austria, Bulgaria, Cyprus, Czech Republic, Estonia, Germany, Luxembourg, Malta and Romania).</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In Estonia, prices are most commonly compared to Latvia, Lithuania and Hungary, although prices in other EU countries can also be consulted. For reimbursement purposes, the minimum price of the defined daily dose is the benchmark.</w:t>
      </w:r>
    </w:p>
    <w:p w:rsidR="00307B47" w:rsidRPr="0074017C" w:rsidRDefault="00307B47" w:rsidP="00307B47">
      <w:pPr>
        <w:spacing w:after="0" w:line="240" w:lineRule="auto"/>
        <w:jc w:val="both"/>
      </w:pPr>
      <w:r w:rsidRPr="0074017C">
        <w:t>Hungary consults prices in all EU and EEA countries. For reimbursement the price has to bethe lowest in the European EconomicArea, and it has to be reimbursed at leastin three countries.Prices of reimbursed products should not be higher than the average of the lowest three in EEA enlarged by 20%.</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Kosovo procures medicines through national tenders. </w:t>
      </w:r>
    </w:p>
    <w:p w:rsidR="00307B47" w:rsidRPr="0074017C" w:rsidRDefault="00307B47" w:rsidP="00307B47">
      <w:pPr>
        <w:spacing w:after="0" w:line="240" w:lineRule="auto"/>
        <w:jc w:val="both"/>
        <w:rPr>
          <w:rFonts w:cstheme="minorHAnsi"/>
        </w:rPr>
      </w:pPr>
    </w:p>
    <w:p w:rsidR="00307B47" w:rsidRPr="0074017C" w:rsidRDefault="00307B47" w:rsidP="00307B47">
      <w:pPr>
        <w:autoSpaceDE w:val="0"/>
        <w:autoSpaceDN w:val="0"/>
        <w:adjustRightInd w:val="0"/>
        <w:spacing w:after="0" w:line="240" w:lineRule="auto"/>
        <w:rPr>
          <w:rFonts w:cstheme="minorHAnsi"/>
        </w:rPr>
      </w:pPr>
      <w:r w:rsidRPr="0074017C">
        <w:rPr>
          <w:rFonts w:cstheme="minorHAnsi"/>
        </w:rPr>
        <w:t xml:space="preserve">Latvia benchmarks other Baltic states and the EU. The general principle is that prices should not exceed the prices in other Baltic countries and the third lowest price in other EU member states. </w:t>
      </w:r>
    </w:p>
    <w:p w:rsidR="00307B47" w:rsidRPr="0074017C" w:rsidRDefault="00307B47" w:rsidP="00307B47">
      <w:pPr>
        <w:spacing w:after="0" w:line="240" w:lineRule="auto"/>
        <w:jc w:val="both"/>
        <w:rPr>
          <w:rFonts w:cstheme="minorHAnsi"/>
        </w:rPr>
      </w:pPr>
    </w:p>
    <w:p w:rsidR="00307B47" w:rsidRPr="0074017C" w:rsidRDefault="00307B47" w:rsidP="00307B47">
      <w:pPr>
        <w:spacing w:after="0" w:line="240" w:lineRule="auto"/>
        <w:jc w:val="both"/>
      </w:pPr>
      <w:r w:rsidRPr="0074017C">
        <w:t>Lithuania compares prices to the Czech Republic, Slovakia, Estonia, Poland, Latvia, Hungary, Bulgaria and Romania. The reimbursement level is set as the average price in the reference countries is lowered by 5%.</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For medicines seeking reimbursement, FYR Macedonia consults prices in 12 referent countries: Serbia, Croatia, Slovenia, Bulgaria</w:t>
      </w:r>
      <w:bookmarkStart w:id="31" w:name="_GoBack"/>
      <w:bookmarkEnd w:id="31"/>
      <w:r w:rsidRPr="0074017C">
        <w:t xml:space="preserve">, Greece, Turkey, Poland, Russia, The Netherlands, Germany, France and UK. The reimbursement level is set at the average of the two lowest prices. For reimbursed products, prices are consulted in Serbia, Croatia, Slovenia and Bulgaria.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Malta compares prices of medicines provided in the public sector in Cyprus, Czech Republic, Greece, Spain, Hungary, Italy, Lithuania, Portugal, Sweden, Slovak Republic and the UK.  The Maltese price </w:t>
      </w:r>
      <w:r w:rsidRPr="0074017C">
        <w:lastRenderedPageBreak/>
        <w:t xml:space="preserve">should not be larger than the average price. An algorithm is used for the private sector for price calculation. </w:t>
      </w:r>
    </w:p>
    <w:p w:rsidR="00307B47" w:rsidRPr="0074017C" w:rsidRDefault="00307B47" w:rsidP="00307B47">
      <w:pPr>
        <w:tabs>
          <w:tab w:val="left" w:pos="3315"/>
        </w:tabs>
        <w:spacing w:after="0" w:line="240" w:lineRule="auto"/>
        <w:jc w:val="both"/>
      </w:pPr>
      <w:r w:rsidRPr="0074017C">
        <w:tab/>
      </w:r>
    </w:p>
    <w:p w:rsidR="00307B47" w:rsidRPr="0074017C" w:rsidRDefault="00307B47" w:rsidP="00307B47">
      <w:pPr>
        <w:spacing w:after="0" w:line="240" w:lineRule="auto"/>
        <w:jc w:val="both"/>
      </w:pPr>
      <w:r w:rsidRPr="0074017C">
        <w:t xml:space="preserve">Montenegro has in 2011 published a bylaw regulating price comparisons between Slovenia, Serbia and Croatia, but it was never implemented. Medicines are procured through national tenders.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Poland consults prices in all EU 27 countries.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Romania benchmarks prices in Austria, Belgium, Bulgaria, Czech Republic, Greece, Germany, Hungary, Italy, Lithuania, Poland, Slovakia and Spain. The reference price is set at the level of the lowest price in the reference basket.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Serbia consults prices in Croatia, Slovenia and Italy. The price is set at the level of the lowest price from the country basket.</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In Slovakia, the price should not exceed the average of the three lowest prices in EU 27.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Slovenia consults prices in France, Germany and Austria. The maximum Slovenian price for originator products is mandated as the lowest of the three. For generics, the average of the average prices in reference countries is multiplied by 68%, and for biosimilars by 72%.</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While commonly used for years in all CEE countries but Kosovo and Montenegro as one of the most important price setting criteria, the implementation of international price comparisons in most countries of the region falls short of the clarity and methodological consistency that could be falsely associated with what is in principle a mathematic operation. Variations from calculated prices are abundant. This happens for several reasons. Companies are inclined to push for higher prices than legally mandated as they are aware of the fact that reducing the price in one country starts a domino effect in which a number of other countries will request the same price cut.  Regulatory capacity in most CEE countries is weak and government staff can lack resources and knowledge to implement the complex calculations correctly and in regulated time cycles, particularly as the number of referenced countries in a basket tends to increase over time. Price sources are also often problematic. Linguistic issues arise, comparator packs can be confusing, different prices are compared (wholesale, retail, ex factory, etc.) and not all countries publish prices on the internet to the public. Furthermore, for patented products, governments lack negotiating power as if a company declines to accept the calculated price, the only alternative to allowing the concession can be delisting a product and facing patient discontent. Finally, calculation rules change dynamically, either through alterations in reference countries or calculation methodologies which further complicates the procedure.</w:t>
      </w:r>
    </w:p>
    <w:p w:rsidR="00307B47" w:rsidRPr="0074017C" w:rsidRDefault="00307B47" w:rsidP="00307B47">
      <w:pPr>
        <w:spacing w:after="0" w:line="240" w:lineRule="auto"/>
        <w:jc w:val="both"/>
      </w:pPr>
    </w:p>
    <w:p w:rsidR="00307B47" w:rsidRPr="0074017C" w:rsidRDefault="00307B47" w:rsidP="00307B47">
      <w:pPr>
        <w:spacing w:after="0" w:line="240" w:lineRule="auto"/>
        <w:jc w:val="both"/>
        <w:rPr>
          <w:b/>
        </w:rPr>
      </w:pPr>
      <w:r w:rsidRPr="0074017C">
        <w:rPr>
          <w:b/>
        </w:rPr>
        <w:t>Additional pricing mechanisms</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ERP rarely determines the final price of a medicine as a myriad of supplemental pricing and reimbursement rules are currently targeted at specific product groups depending on therapeutic value, patent status and existence of competitor medicines. Cost containment is (although often not explicitly) the common denominator behind most.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ERP, internal pricing comparisons, discounts, pay back agreements, reimbursed prices, copayments and managed entry agreements have become highly multivariate, heavily interlinked between countries and confusingly complex. Price setting regulations are described in countries’ legal frameworks, however the </w:t>
      </w:r>
      <w:r w:rsidRPr="0074017C">
        <w:lastRenderedPageBreak/>
        <w:t>details of the descriptions differ greatly from country to country while the exact timing cycles of price calculations and implementation of methodologies display substantial heterogeneity even within a single country over various years.</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In addition, there is a strong link between pricing and reimbursement, as the latter often influences the former, be it through measures such as managed entry agreements, value based pricing, internal price referencing (e.g. therapeutic reference pricing) or through pricing tactics of competitor companies and entry of new molecules to the market.</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Hospital tenders are pervasive and used in all CEE countries, although they vary from country to country in the scope of procured products and number of participating hospitals. Serbia and Croatia have recently implemented joint hospital procurement reforms that produced massive savings. For instance, the cost of hospital administered drugs with generic alternatives in Croatia in 2013 decreased by 44,7% while in Serbia in 2012 the cost for all drugs administered in hospitals decreased by 27% after centralized tendering.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Therapeutic value referencing (jumbo clusters) is also common, although again variable in the scope of products for which it is used, the composition  of the clusters, the ATC level of clustering (varying from 3 to 5) and the methodologies used to calculate internal reference prices – price per DDD being the most common criterion. It is used in Albania, Bulgaria, Croatia, Czech Republic, Estonia, Hungary, Latvia, FYR Macedonia, Poland, Romania, Serbia and Slovenia.</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Managed entry, discount and risk sharing agreements have been used for several years in some form or another in most countries; Bulgaria, Croatia, Estonia, Hungary, Latvia, Lithuania, Poland, Romania, Serbia and Slovenia leading in the implementation and development of these regulatory policies. Other countries are following suit. Little concrete data are publicly known on most financial arrangements as these remain confidential between the administration and companies leading to further perplexities in comparing actual prices paid for medicines between countries.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Hungary, Romania, Latvia and Poland operate market wide claw back agreements that stipulate that any consumption over the budget limit for all pharmaceuticals is to be born in part or in totality by the market authorization holders.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rPr>
          <w:b/>
        </w:rPr>
      </w:pPr>
      <w:r w:rsidRPr="0074017C">
        <w:rPr>
          <w:b/>
        </w:rPr>
        <w:t>Generics</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Generic medicines represent around half of the total CEE pharmaceutical market in value terms and almost three quarters in volume terms. Generics have retained a strong market position in the region due to the demand for affordable medicines and the fact that the region is home to a large number of generic companies including Krka, Pliva, Alkaloid, Belupo, Pharma S, BosnaLijek, Gedeon Richter, Polpharma, etc. often enjoying explicit or implicit protection from local governments.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Virtually all countries stimulate prescribing of generic variants compared to branded originators and employ reimbursement rules that stipulate lower prices for generics when seeking reimbursement, albeit to a different degree. Branded generics are a regional specificity, in most countries that have domestic producers not lagging far behind originators in price as originators swiftly adapt prices to retain competitiveness.</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lastRenderedPageBreak/>
        <w:t>Price cuts demanded for reimbursement vary from country to country. For instance, the Croatian Health Insurance fund demands a 30% price decrease from the first generic entry, and an additional 10% for every subsequent etc. Albania, Czech Republic and Bulgaria demand a 20% price cut for the first generic entry, and Romania 35%. The Hungarian Health Insurance Fund is most severe, it demands a 40% price cut from the first generic entry, 20% for the second, 10% for the third and an additional 5% for every subsequent. Estonia requires the first generic to be priced 30% below the originator, the second least 10% cheaper and the next two by an additional 5%.</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Prescribing policies vary across the region and are often not strictly enforced. FYR Macedonia, and Lithuania require all medicines to be prescribed by INN. In Poland, Bulgaria, Czech Republic, Slovenia, Croatia, Bosnia and Herzegovina and Serbia the medicines are prescribed by their branded names, although in most of these prescribing by INN is legally allowed. In Hungary, both INN and branded prescriptions are allowed, the former yet not being common practice. In 2012 a pilot project was introduced obliging doctors to prescribe cholesterol lowering drugs solely by INN. From 2012, Latvian authorities require that medicines for newly diagnosed patients are prescribed by INN. In Estonia, Slovakia and Romania, doctors are obliged to prescribe preferably by INN, while branded prescriptions require documenting a reason why they were not prescribed in INN.</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Regardless of the prescribing regulation, in most countries an alternative generic may be dispensed with the patient’s consent if cheaper and/or if the prescribed version is not available. This regulation is often abused by wholesalers and manufacturers who stimulate pharmacists to dispense targeted products through higher margin actions.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p>
    <w:p w:rsidR="00307B47" w:rsidRPr="0074017C" w:rsidRDefault="00307B47" w:rsidP="00307B47">
      <w:pPr>
        <w:spacing w:after="0" w:line="240" w:lineRule="auto"/>
        <w:jc w:val="both"/>
        <w:rPr>
          <w:b/>
        </w:rPr>
      </w:pPr>
      <w:r w:rsidRPr="0074017C">
        <w:rPr>
          <w:b/>
        </w:rPr>
        <w:t>Health Technology Assessment</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As is the case in other European countries, CEE countries are increasingly introducing health economic HTA evidence into their reimbursement decision making processes. Poland and Hungary are clearly the front runners in this process, with other countries following suit. The process is still nascent in Albania, Kosovo, Montenegro, Bosnia and Herzegovina, FYR Macedonia, Cyprus and Malta. All countries require a solid overview of studies demonstrating therapeutic value.</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Bulgaria, Serbia and Slovakia have partially included HTA in the reimbursement process. Evidence is not obligatory, but may be submitted with reimbursement applications. Croatia requires budget impact analyses but CEA submissions are optional and rarely submitted. While Latvia also does do not formally require CEA, these are commonly submitted. Lithuania formally requires CMA, CEA or CUA while Poland formally requires CEA, CUA or CMA and BIA as do Czech, Hungarian, Slovenian and Estonian authorities. Up until recently, Romanian authorities required CEA and BIA solely for informative purposes, but these have recently become a must.  </w:t>
      </w:r>
    </w:p>
    <w:p w:rsidR="00307B47" w:rsidRPr="0074017C" w:rsidRDefault="00307B47" w:rsidP="00307B47">
      <w:pPr>
        <w:spacing w:after="0" w:line="240" w:lineRule="auto"/>
        <w:jc w:val="both"/>
      </w:pPr>
    </w:p>
    <w:p w:rsidR="00307B47" w:rsidRPr="0074017C" w:rsidRDefault="00307B47" w:rsidP="00307B47">
      <w:pPr>
        <w:spacing w:after="0" w:line="240" w:lineRule="auto"/>
        <w:jc w:val="both"/>
      </w:pPr>
      <w:r w:rsidRPr="0074017C">
        <w:t xml:space="preserve">Most countries such as Estonia, Romania, Slovak Republic, Latvia, Hungary implicitly use WHO’s guidance on 2-3xGDP/capita per QALY as acceptable. In Poland the threshold is set at 105,000 PLN per QALY (3xGDP/capita). </w:t>
      </w:r>
    </w:p>
    <w:p w:rsidR="00307B47" w:rsidRPr="0074017C" w:rsidRDefault="00307B47" w:rsidP="00307B47">
      <w:pPr>
        <w:tabs>
          <w:tab w:val="left" w:pos="2323"/>
          <w:tab w:val="center" w:pos="4680"/>
        </w:tabs>
        <w:spacing w:after="0" w:line="240" w:lineRule="auto"/>
        <w:jc w:val="both"/>
      </w:pPr>
      <w:r w:rsidRPr="0074017C">
        <w:tab/>
      </w:r>
      <w:r w:rsidRPr="0074017C">
        <w:tab/>
      </w:r>
    </w:p>
    <w:p w:rsidR="00307B47" w:rsidRPr="0074017C" w:rsidRDefault="00307B47" w:rsidP="00307B47">
      <w:pPr>
        <w:spacing w:after="0" w:line="240" w:lineRule="auto"/>
        <w:jc w:val="both"/>
      </w:pPr>
      <w:r w:rsidRPr="0074017C">
        <w:t xml:space="preserve">Serbia and Slovakia are considering alternate approaches towards setting the acceptable ICER threshold. Slovak authorities have already in 2011 incorporated into legislation an indicative &lt;35 average salaries limit (excluding orphan products), while the Serbian Health Insurance Fund proposed 3 different </w:t>
      </w:r>
      <w:r w:rsidRPr="0074017C">
        <w:lastRenderedPageBreak/>
        <w:t xml:space="preserve">thresholds: 3xGDP per capita for most medicines, 6xGDP per capita for medicines that would be used by less than 1000 patients and 9xGDP per capita for oncology treatments. </w:t>
      </w:r>
    </w:p>
    <w:p w:rsidR="00307B47" w:rsidRPr="0074017C" w:rsidRDefault="00307B47" w:rsidP="00307B47">
      <w:pPr>
        <w:spacing w:after="0" w:line="240" w:lineRule="auto"/>
        <w:jc w:val="both"/>
      </w:pPr>
    </w:p>
    <w:p w:rsidR="00307B47" w:rsidRPr="0074017C" w:rsidRDefault="00307B47" w:rsidP="00307B47">
      <w:pPr>
        <w:spacing w:after="0" w:line="240" w:lineRule="auto"/>
        <w:jc w:val="both"/>
        <w:rPr>
          <w:b/>
        </w:rPr>
      </w:pPr>
      <w:r w:rsidRPr="0074017C">
        <w:t>That said, while most countries have in recent years started introducing health economic arguments into reimbursement deliberations, the overall level of knowledge in health economics in the region (apart from Hungary and Poland) is very low both in the industry and particularly in regulators. Nevertheless, in the future the process will inevitably develop both in skill and in importance.</w:t>
      </w:r>
    </w:p>
    <w:p w:rsidR="0098493A" w:rsidRPr="0074017C" w:rsidRDefault="0098493A" w:rsidP="00DC10CD">
      <w:pPr>
        <w:spacing w:after="0" w:line="240" w:lineRule="auto"/>
        <w:jc w:val="both"/>
      </w:pPr>
    </w:p>
    <w:p w:rsidR="0075041A" w:rsidRPr="0074017C" w:rsidRDefault="0075041A" w:rsidP="00DC10CD">
      <w:pPr>
        <w:spacing w:after="0" w:line="240" w:lineRule="auto"/>
        <w:jc w:val="both"/>
      </w:pPr>
    </w:p>
    <w:p w:rsidR="0075041A" w:rsidRPr="0074017C" w:rsidRDefault="0075041A" w:rsidP="00DC10CD">
      <w:pPr>
        <w:spacing w:after="0" w:line="240" w:lineRule="auto"/>
        <w:jc w:val="both"/>
      </w:pPr>
    </w:p>
    <w:p w:rsidR="0075041A" w:rsidRPr="0074017C" w:rsidRDefault="0075041A" w:rsidP="00DC10CD">
      <w:pPr>
        <w:spacing w:after="0" w:line="240" w:lineRule="auto"/>
        <w:jc w:val="both"/>
      </w:pPr>
    </w:p>
    <w:p w:rsidR="0075041A" w:rsidRPr="0074017C" w:rsidRDefault="0075041A" w:rsidP="00DC10CD">
      <w:pPr>
        <w:spacing w:after="0" w:line="240" w:lineRule="auto"/>
        <w:jc w:val="both"/>
      </w:pPr>
    </w:p>
    <w:p w:rsidR="0075041A" w:rsidRPr="0074017C" w:rsidRDefault="0075041A" w:rsidP="00DC10CD">
      <w:pPr>
        <w:spacing w:after="0" w:line="240" w:lineRule="auto"/>
        <w:jc w:val="both"/>
      </w:pPr>
    </w:p>
    <w:p w:rsidR="0075041A" w:rsidRPr="0074017C" w:rsidRDefault="0075041A" w:rsidP="00DC10CD">
      <w:pPr>
        <w:spacing w:after="0" w:line="240" w:lineRule="auto"/>
        <w:jc w:val="both"/>
      </w:pPr>
    </w:p>
    <w:p w:rsidR="0075041A" w:rsidRPr="0074017C" w:rsidRDefault="0075041A" w:rsidP="00DC10CD">
      <w:pPr>
        <w:spacing w:after="0" w:line="240" w:lineRule="auto"/>
        <w:jc w:val="both"/>
      </w:pPr>
    </w:p>
    <w:p w:rsidR="0075041A" w:rsidRPr="0074017C" w:rsidRDefault="0075041A">
      <w:pPr>
        <w:rPr>
          <w:rFonts w:ascii="Calibri" w:hAnsi="Calibri"/>
        </w:rPr>
      </w:pPr>
      <w:r w:rsidRPr="0074017C">
        <w:rPr>
          <w:rFonts w:ascii="Calibri" w:hAnsi="Calibri"/>
        </w:rPr>
        <w:br w:type="page"/>
      </w:r>
    </w:p>
    <w:p w:rsidR="0075041A" w:rsidRPr="0074017C" w:rsidRDefault="007A2D4A" w:rsidP="0075041A">
      <w:pPr>
        <w:pStyle w:val="Heading1"/>
      </w:pPr>
      <w:bookmarkStart w:id="32" w:name="_Toc391556328"/>
      <w:r w:rsidRPr="0074017C">
        <w:lastRenderedPageBreak/>
        <w:t xml:space="preserve">Appendix 2 - </w:t>
      </w:r>
      <w:r w:rsidR="0075041A" w:rsidRPr="0074017C">
        <w:t>Glossary</w:t>
      </w:r>
      <w:bookmarkEnd w:id="32"/>
    </w:p>
    <w:p w:rsidR="0075041A" w:rsidRPr="0074017C" w:rsidRDefault="0075041A" w:rsidP="0075041A">
      <w:pPr>
        <w:spacing w:after="0" w:line="240" w:lineRule="auto"/>
        <w:jc w:val="both"/>
        <w:rPr>
          <w:rFonts w:ascii="Calibri" w:hAnsi="Calibri"/>
        </w:rPr>
      </w:pPr>
    </w:p>
    <w:p w:rsidR="00033A8C" w:rsidRPr="0074017C" w:rsidRDefault="00033A8C" w:rsidP="0075041A">
      <w:pPr>
        <w:spacing w:after="0" w:line="240" w:lineRule="auto"/>
        <w:jc w:val="both"/>
        <w:rPr>
          <w:rFonts w:ascii="Calibri" w:hAnsi="Calibri"/>
        </w:rPr>
      </w:pPr>
      <w:r w:rsidRPr="0074017C">
        <w:rPr>
          <w:rFonts w:ascii="Calibri" w:hAnsi="Calibri"/>
        </w:rPr>
        <w:t>Glossary</w:t>
      </w:r>
      <w:r w:rsidRPr="0074017C">
        <w:rPr>
          <w:rStyle w:val="FootnoteReference"/>
          <w:rFonts w:ascii="Calibri" w:hAnsi="Calibri"/>
        </w:rPr>
        <w:footnoteReference w:id="36"/>
      </w:r>
    </w:p>
    <w:p w:rsidR="00033A8C" w:rsidRPr="0074017C" w:rsidRDefault="00033A8C" w:rsidP="0075041A">
      <w:pPr>
        <w:spacing w:after="0" w:line="240" w:lineRule="auto"/>
        <w:jc w:val="both"/>
        <w:rPr>
          <w:rFonts w:ascii="Calibri" w:hAnsi="Calibri"/>
        </w:rPr>
      </w:pPr>
    </w:p>
    <w:p w:rsidR="0075041A" w:rsidRPr="0074017C" w:rsidRDefault="0075041A" w:rsidP="0075041A">
      <w:pPr>
        <w:widowControl w:val="0"/>
        <w:autoSpaceDE w:val="0"/>
        <w:autoSpaceDN w:val="0"/>
        <w:adjustRightInd w:val="0"/>
        <w:spacing w:after="0" w:line="240" w:lineRule="auto"/>
        <w:jc w:val="both"/>
        <w:rPr>
          <w:rFonts w:ascii="Calibri" w:hAnsi="Calibri"/>
          <w:u w:val="single"/>
        </w:rPr>
      </w:pPr>
      <w:r w:rsidRPr="0074017C">
        <w:rPr>
          <w:rFonts w:ascii="Calibri" w:hAnsi="Calibri"/>
          <w:u w:val="single"/>
        </w:rPr>
        <w:t>Active ingredient: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 xml:space="preserve">An Active Pharmaceutical Ingredient (API) is the chemical substance contained in apharmaceutical, which is responsible for its therapeutic effect. Some pharmaceuticals containmore than one active ingredient (combination product). </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u w:val="single"/>
        </w:rPr>
      </w:pPr>
      <w:r w:rsidRPr="0074017C">
        <w:rPr>
          <w:rFonts w:ascii="Calibri" w:hAnsi="Calibri" w:cs="Times New Roman"/>
          <w:bCs/>
          <w:u w:val="single"/>
        </w:rPr>
        <w:t>Brand name:</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 xml:space="preserve">Name given for marketing purposes to any ready-prepared medicine placed on the marketunder a special name and in a special pack. A brand name may be a protected trademark. </w:t>
      </w:r>
    </w:p>
    <w:p w:rsidR="0075041A" w:rsidRPr="0074017C" w:rsidRDefault="0075041A" w:rsidP="0075041A">
      <w:pPr>
        <w:widowControl w:val="0"/>
        <w:autoSpaceDE w:val="0"/>
        <w:autoSpaceDN w:val="0"/>
        <w:adjustRightInd w:val="0"/>
        <w:spacing w:after="0" w:line="240" w:lineRule="auto"/>
        <w:jc w:val="both"/>
        <w:rPr>
          <w:rFonts w:ascii="Calibri" w:hAnsi="Calibri"/>
          <w:u w:val="single"/>
        </w:rPr>
      </w:pPr>
    </w:p>
    <w:p w:rsidR="0075041A" w:rsidRPr="0074017C" w:rsidRDefault="0075041A" w:rsidP="0075041A">
      <w:pPr>
        <w:widowControl w:val="0"/>
        <w:autoSpaceDE w:val="0"/>
        <w:autoSpaceDN w:val="0"/>
        <w:adjustRightInd w:val="0"/>
        <w:spacing w:after="0" w:line="240" w:lineRule="auto"/>
        <w:jc w:val="both"/>
        <w:rPr>
          <w:rFonts w:ascii="Calibri" w:hAnsi="Calibri"/>
          <w:u w:val="single"/>
        </w:rPr>
      </w:pPr>
      <w:r w:rsidRPr="0074017C">
        <w:rPr>
          <w:rFonts w:ascii="Calibri" w:hAnsi="Calibri"/>
          <w:u w:val="single"/>
        </w:rPr>
        <w:t xml:space="preserve">Co-payment: </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Insured patient‘s contribution towards the cost of a medical service covered by the insurer. Itcan be expressed as a percentage of the total cost of the service (also known as co-insurance) or as a fixed amount. (WHO)</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Counterfeit medicinal product: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The term counterfeit medical product describes a product with a false representation of itsidentity and/or Source. This applies to the product, its container or other packaging or labeling information. Counterfeiting can apply to both branded and generic products.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Cost, Insurance, Freight (CIF):</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CIF is a shipping term meaning that the seller must pay the costs, insurance and freight charges necessary to bring the goods to the port of destination.</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Dispenser:</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A dispenser is a health care professional who is legally qualified to distribute medicines.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Dispensing fee:</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Normally a dispensing fee is a fixed fee that pharmacies are allowed to charge per prescribeditem instead of or in addition to a percentage mark-up. The fee more accurately reflects thework involved in dispensing a prescription; a percentage mark-up makes profit dependent onthe sale of expensive medicines.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Distribution:</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The division and movement of pharmaceutical products from the premises of the manufacturer of such products, or another central point, to the end user thereof, or to an intermediate point by means of various transport methods, via various storage and/or health establishments.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Formulary:</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A formulary is a manual containing clinically oriented summaries of pharmacological information about selected drugs. The manual may also include administrative and regulatory information pertaining to the prescribing and dispensing of drugs).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A national formulary generally concentrates on available and affordable medicines that arerelevant to the treatment of diseases in a particular country. Formularies are also frequentlycreated for different levels of health care, different sectors and for individual hospitals.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Generic:</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A pharmaceutical product which has the same qualitative and quantitative composition in active substances and the same pharmaceutical form as the reference medicinal product, and whose bioequivalence with the reference medicinal product has been demonstrated by appropriate bioavailability studies. (WHO)</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Generic substitution:</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Generic substitution is the practice of substituting a pharmaceutical, whether marketed under a trade name or generic name (branded or unbranded generic), by a pharmaceutical, often acheaper one, containing the same active ingredient(s).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International non-proprietary name:</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International Nonproprietary Names (INN) facilitate the identification of pharmaceutical substances or active pharmaceutical ingredients. Each INN is a unique name that is globally recognized and is public property.</w:t>
      </w:r>
    </w:p>
    <w:p w:rsidR="0075041A" w:rsidRPr="0074017C" w:rsidRDefault="0075041A" w:rsidP="0075041A">
      <w:pPr>
        <w:widowControl w:val="0"/>
        <w:autoSpaceDE w:val="0"/>
        <w:autoSpaceDN w:val="0"/>
        <w:adjustRightInd w:val="0"/>
        <w:spacing w:after="0" w:line="240" w:lineRule="auto"/>
        <w:jc w:val="both"/>
        <w:rPr>
          <w:rFonts w:ascii="Calibri" w:hAnsi="Calibri" w:cs="Helvetica"/>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International Reference Pricing:</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In the WHO/HAI survey measuring prices, availability, affordability and price components ofmedicines, medicine prices are expressed as ratios relative to a standard set of reference pricesto facilitate national and international comparisons. Median prices listed in MSH’s International. Drug Price Indicator Guide have been selected as the most useful standard since they areupdated frequently, are always available and are relatively stable. These prices are recentprocurement prices offered by both not-for-profit and for-profit suppliers to developingcountries for multi-source products.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Manufacturing:</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Manufacturing includes all operations of receipt of materials, production, packaging,repackaging, labeling, relabeling, quality control, release, storage and distribution of activepharmaceutical ingredients and related controls.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u w:val="single"/>
        </w:rPr>
      </w:pPr>
      <w:r w:rsidRPr="0074017C">
        <w:rPr>
          <w:rFonts w:ascii="Calibri" w:hAnsi="Calibri" w:cs="Times New Roman"/>
          <w:bCs/>
          <w:u w:val="single"/>
        </w:rPr>
        <w:t>Marketing authorization:</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color w:val="000000"/>
        </w:rPr>
      </w:pPr>
      <w:r w:rsidRPr="0074017C">
        <w:rPr>
          <w:rFonts w:ascii="Calibri" w:hAnsi="Calibri" w:cs="Times New Roman"/>
          <w:color w:val="000000"/>
        </w:rPr>
        <w:t xml:space="preserve">A legal document issued by the competent drug regulatory authority for the purpose ofmarketing or free distribution of a product after evaluation for safety, efficacy and quality. Itmust set out, inter alia, the name of the product, the pharmaceutical dosage form, thequantitative formula (including excipients) per unit dose (using </w:t>
      </w:r>
      <w:r w:rsidRPr="0074017C">
        <w:rPr>
          <w:rFonts w:ascii="Calibri" w:hAnsi="Calibri" w:cs="Times New Roman"/>
        </w:rPr>
        <w:t>INNs</w:t>
      </w:r>
      <w:r w:rsidRPr="0074017C">
        <w:rPr>
          <w:rFonts w:ascii="Calibri" w:hAnsi="Calibri" w:cs="Times New Roman"/>
          <w:color w:val="000000"/>
        </w:rPr>
        <w:t xml:space="preserve">or national generic names where they exist), the shelf-life and storage conditions, and packaging characteristics. It specifies the information on which authorization is based (e.g. "The product(s) must conform to all the details provided in your application and as modified in subsequent correspondence"). It also contains the product information approved for health professionals and the public, the sales category, the name and address of the holder of the authorization, and the period of validity of the authorization.Once a product has been given marketing authorization, it is included on a list of authorizedproducts – the register – and is often said to be "registered" or to "have registration". Marketauthorization may occasionally also be referred to as a "license" or "product license". </w:t>
      </w:r>
    </w:p>
    <w:p w:rsidR="00764DFE" w:rsidRPr="0074017C" w:rsidRDefault="00764DFE" w:rsidP="0075041A">
      <w:pPr>
        <w:widowControl w:val="0"/>
        <w:autoSpaceDE w:val="0"/>
        <w:autoSpaceDN w:val="0"/>
        <w:adjustRightInd w:val="0"/>
        <w:spacing w:after="0" w:line="240" w:lineRule="auto"/>
        <w:jc w:val="both"/>
        <w:rPr>
          <w:rFonts w:ascii="Calibri" w:hAnsi="Calibri" w:cs="Times New Roman"/>
          <w:color w:val="000000"/>
        </w:rPr>
      </w:pPr>
    </w:p>
    <w:p w:rsidR="00764DFE" w:rsidRPr="0074017C" w:rsidRDefault="00764DFE" w:rsidP="0075041A">
      <w:pPr>
        <w:widowControl w:val="0"/>
        <w:autoSpaceDE w:val="0"/>
        <w:autoSpaceDN w:val="0"/>
        <w:adjustRightInd w:val="0"/>
        <w:spacing w:after="0" w:line="240" w:lineRule="auto"/>
        <w:jc w:val="both"/>
        <w:rPr>
          <w:rFonts w:ascii="Calibri" w:hAnsi="Calibri" w:cs="Times New Roman"/>
          <w:color w:val="000000"/>
          <w:u w:val="single"/>
        </w:rPr>
      </w:pPr>
      <w:r w:rsidRPr="0074017C">
        <w:rPr>
          <w:rFonts w:ascii="Calibri" w:hAnsi="Calibri" w:cs="Times New Roman"/>
          <w:color w:val="000000"/>
          <w:u w:val="single"/>
        </w:rPr>
        <w:lastRenderedPageBreak/>
        <w:t>Me too medicine</w:t>
      </w:r>
    </w:p>
    <w:p w:rsidR="00764DFE" w:rsidRPr="0074017C" w:rsidRDefault="00764DFE" w:rsidP="0075041A">
      <w:pPr>
        <w:widowControl w:val="0"/>
        <w:autoSpaceDE w:val="0"/>
        <w:autoSpaceDN w:val="0"/>
        <w:adjustRightInd w:val="0"/>
        <w:spacing w:after="0" w:line="240" w:lineRule="auto"/>
        <w:jc w:val="both"/>
        <w:rPr>
          <w:rFonts w:ascii="Calibri" w:hAnsi="Calibri" w:cs="Times New Roman"/>
          <w:color w:val="000000"/>
        </w:rPr>
      </w:pPr>
      <w:r w:rsidRPr="0074017C">
        <w:rPr>
          <w:rFonts w:ascii="Calibri" w:hAnsi="Calibri" w:cs="Times New Roman"/>
          <w:color w:val="000000"/>
        </w:rPr>
        <w:t>A me-too medicine is approved after a pioneering product and is defined as comparable or similar but not clinically superior product.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color w:val="000000"/>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color w:val="000000"/>
          <w:u w:val="single"/>
        </w:rPr>
      </w:pPr>
      <w:r w:rsidRPr="0074017C">
        <w:rPr>
          <w:rFonts w:ascii="Calibri" w:hAnsi="Calibri" w:cs="Times New Roman"/>
          <w:color w:val="000000"/>
          <w:u w:val="single"/>
        </w:rPr>
        <w:t>Originator pharmaceutical product: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color w:val="000000"/>
          <w:u w:val="single"/>
        </w:rPr>
      </w:pPr>
      <w:r w:rsidRPr="0074017C">
        <w:rPr>
          <w:rFonts w:ascii="Calibri" w:hAnsi="Calibri" w:cs="Times New Roman"/>
        </w:rPr>
        <w:t>An originator brand is generally the product that was first authorized world wide for marketing (normally as a patented product) on the basis of the documentation of its efficacy, safety and quality, according to requirements at the time of authorization: e.g. Valium. The originator product always has a brand name; this name may, however, vary across countries.Some substances (e.g. prednisolone, izoniazid) are so old that no originator can be identifiedand the patent was probably never claimed.</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color w:val="000000"/>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color w:val="000000"/>
          <w:u w:val="single"/>
        </w:rPr>
      </w:pPr>
      <w:r w:rsidRPr="0074017C">
        <w:rPr>
          <w:rFonts w:ascii="Calibri" w:hAnsi="Calibri" w:cs="Times New Roman"/>
          <w:color w:val="000000"/>
          <w:u w:val="single"/>
        </w:rPr>
        <w:t>Over the counter medicine:</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Over-the-counter medicines are medicines that can be sold from licensed dealers withoutprofessional supervision and without prescription. These medicines are suitable for self-medication for minor disease and symptoms.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Parallel import: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Parallel or grey-market imports are not imports of counterfeit products or illegal copies. These are products marketed by the patent owner (or trademark- or copyright-owner, etc) or with the patent owner’s permission in one country and imported into another country without the approval of the patent owner.</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u w:val="single"/>
        </w:rPr>
      </w:pPr>
      <w:r w:rsidRPr="0074017C">
        <w:rPr>
          <w:rFonts w:ascii="Calibri" w:hAnsi="Calibri" w:cs="Times New Roman"/>
          <w:bCs/>
          <w:u w:val="single"/>
        </w:rPr>
        <w:t>Patent: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 xml:space="preserve">Patents provide the patent owner with the legal means to prevent others from making, using, or selling the new invention for a limited period of time, subject to a number of exceptions.A patent is not a permit to put a product on the market. A patent only gives an inventor theright to prevent others from using the patented invention. It says nothing about whether theproduct is safe for consumers and whether it can be supplied. Patented pharmaceuticals stillhave to go through rigorous testing and approval before they can be put on the market. </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Pharmaceutical product: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A pharmaceutical product is a unique product defined by its active pharmaceutical ingredient,the strength of the active pharmaceutical ingredient, its pharmaceutical form and route ofadministration.</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 xml:space="preserve">Pharmacovigilance: </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rPr>
        <w:t>Pharmacovigilance is the science and activities relating to the detection, assessment,understanding and prevention of adverse effects or any other drug-related problems.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Reimbursement list:</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rPr>
      </w:pPr>
      <w:r w:rsidRPr="0074017C">
        <w:rPr>
          <w:rFonts w:ascii="Calibri" w:hAnsi="Calibri" w:cs="Times New Roman"/>
        </w:rPr>
        <w:t>Reimbursement is the percentage of the reimbursement price (for a service or a medicine)which a third party payer pays. So 100% reimbursement means that the third party payer covers 100% of the reimbursement price / amount of a medicine or service except a possibleprescription fee. A reimbursement list is the list of medicines, which a third party payer pays in part or completely</w:t>
      </w:r>
      <w:r w:rsidRPr="0074017C">
        <w:rPr>
          <w:rFonts w:ascii="Calibri" w:hAnsi="Calibri" w:cs="Times New Roman"/>
          <w:bCs/>
        </w:rPr>
        <w:t>. (WHO)</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u w:val="single"/>
        </w:rPr>
      </w:pPr>
      <w:r w:rsidRPr="0074017C">
        <w:rPr>
          <w:rFonts w:ascii="Calibri" w:hAnsi="Calibri" w:cs="Times New Roman"/>
          <w:bCs/>
          <w:u w:val="single"/>
        </w:rPr>
        <w:t>Reimbursement category:</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 xml:space="preserve">Medicines eligible for reimbursement are often grouped according to selected characteristics,e.g. route of administration (oral, etc.), main indication (oncology, pediatric, etc.), ATC level,classification (hospital-only, etc.). In many countries different reimbursement rates aredetermined for different reimbursement </w:t>
      </w:r>
      <w:r w:rsidRPr="0074017C">
        <w:rPr>
          <w:rFonts w:ascii="Calibri" w:hAnsi="Calibri" w:cs="Times New Roman"/>
        </w:rPr>
        <w:lastRenderedPageBreak/>
        <w:t>categories.</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Retail distributor:</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A retail distributor is a company that sells goods to consumers, e.g. a pharmacy or othermedicines outlet. Many low- and middle- income countries have at least two different types of shops in which medicines can be purchased: pharmacies with a registered pharmacist andmedicines stores, chemists or medicines outlets with paramedical or lay staff.</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Retail mark-up:</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r w:rsidRPr="0074017C">
        <w:rPr>
          <w:rFonts w:ascii="Calibri" w:hAnsi="Calibri" w:cs="Times New Roman"/>
        </w:rPr>
        <w:t>The retail mark-up is the percentage that retailers (pharmacies) add to cover their costs,including their profit. These costs include those overhead costs that retailers incur in theirpractice, such as rent, staff salaries, repackaging and loss, as well as profit. Retail mark-ups arenot limited to the private sector: the public and other sectors can also use mark-ups to covertheir costs.Mark-ups can vary between products: imported and locally produced medicines often havedifferent mark-ups. Pharmacies may also charge different mark-ups on originator brands andgenerically equivalent products. In some countries, for example, the mark-ups are higher ongeneric equivalents because, even with the markup, they are considered to be affordable.Maximum retail mark-up: In some cases, the government applies a ceiling or maximumpercentage limiting the mark-up that a retailer can add. However, it is also common to find thatthis mark-up is not enforced and much higher percentages can be found in practice.Regressive retail mark-up: In some countries, there may be different maximum mark-ups fordifferent price bands: this is called a ‘regressive mark-up’ and means that the mark-up decreasesas the price of the medicine increases.In countries where prices are not regulated or where regulations are not enforced, there mightbe great variation in retail mark-ups. If medicines are sold in the informal sector (medicineoutlets), price variations can be even greater.</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u w:val="single"/>
        </w:rPr>
      </w:pPr>
      <w:r w:rsidRPr="0074017C">
        <w:rPr>
          <w:rFonts w:ascii="Calibri" w:hAnsi="Calibri" w:cs="Times New Roman"/>
          <w:u w:val="single"/>
        </w:rPr>
        <w:t>Wholesale:</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u w:val="single"/>
        </w:rPr>
      </w:pPr>
      <w:r w:rsidRPr="0074017C">
        <w:rPr>
          <w:rFonts w:ascii="Calibri" w:hAnsi="Calibri" w:cs="Times New Roman"/>
        </w:rPr>
        <w:t>All activities consisting of procuring, holding, supplying or exporting medicinal products, apart from supplying medicinal products to the public.Such activities are carried out with manufacturers or their depositories, importers, otherwholesale distributors or with pharmacists and persons authorized or entitled to supplymedicinal products to the public in the Member State concerned.Wholesalers have a public service obligation: the obligation to guarantee permanently anadequate range of medicinal products to meet the requirements of a specific geographical areaand to deliver the supplies requested within a very short time over the whole of the area inquestion</w:t>
      </w: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rPr>
      </w:pPr>
    </w:p>
    <w:p w:rsidR="0075041A" w:rsidRPr="0074017C" w:rsidRDefault="0075041A" w:rsidP="0075041A">
      <w:pPr>
        <w:widowControl w:val="0"/>
        <w:autoSpaceDE w:val="0"/>
        <w:autoSpaceDN w:val="0"/>
        <w:adjustRightInd w:val="0"/>
        <w:spacing w:after="0" w:line="240" w:lineRule="auto"/>
        <w:jc w:val="both"/>
        <w:rPr>
          <w:rFonts w:ascii="Calibri" w:hAnsi="Calibri" w:cs="Times New Roman"/>
          <w:bCs/>
          <w:u w:val="single"/>
        </w:rPr>
      </w:pPr>
      <w:r w:rsidRPr="0074017C">
        <w:rPr>
          <w:rFonts w:ascii="Calibri" w:hAnsi="Calibri" w:cs="Times New Roman"/>
          <w:bCs/>
          <w:u w:val="single"/>
        </w:rPr>
        <w:t>Wholesale mark-up:</w:t>
      </w:r>
    </w:p>
    <w:p w:rsidR="0075041A" w:rsidRPr="0074017C" w:rsidRDefault="0075041A" w:rsidP="00943F96">
      <w:pPr>
        <w:widowControl w:val="0"/>
        <w:autoSpaceDE w:val="0"/>
        <w:autoSpaceDN w:val="0"/>
        <w:adjustRightInd w:val="0"/>
        <w:spacing w:after="0" w:line="240" w:lineRule="auto"/>
        <w:jc w:val="both"/>
        <w:rPr>
          <w:rFonts w:asciiTheme="majorHAnsi" w:eastAsiaTheme="majorEastAsia" w:hAnsiTheme="majorHAnsi" w:cstheme="majorBidi"/>
          <w:b/>
          <w:bCs/>
          <w:color w:val="365F91" w:themeColor="accent1" w:themeShade="BF"/>
          <w:sz w:val="28"/>
          <w:szCs w:val="28"/>
        </w:rPr>
      </w:pPr>
      <w:r w:rsidRPr="0074017C">
        <w:rPr>
          <w:rFonts w:ascii="Calibri" w:hAnsi="Calibri" w:cs="Times New Roman"/>
        </w:rPr>
        <w:t>The wholesale mark-up is the percentage added by the wholesaler or Central Medical Stores to cover overhead costs. These costs encompass overhead expenses such as rent, security,electricity, staff salaries and loss. In some situations, it includes costs to transport medicines to retailers. In the private sector, the markup also includes a profit margin; in the public andmission sector, the margin can provide capital for future investment or cover unforeseenincreases in costs (e.g. inflation or devaluation).If the medicines move through more than one wholesaler on their way to the patient, multiplewholesale mark-ups might be levied. This tends to happen as medicines move from central,urban areas to more rural ones.Maximum wholesale mark-up: In some countries, the government applies a ceiling or maximum percentage limiting the mark-up that a wholesaler can add. In some cases, this mark-up is not enforced and much higher percentages can be observed.</w:t>
      </w:r>
      <w:r w:rsidRPr="0074017C">
        <w:rPr>
          <w:rFonts w:ascii="Calibri" w:hAnsi="Calibri" w:cs="Times New Roman"/>
          <w:bCs/>
        </w:rPr>
        <w:t>Intermediaries that buy drugs from manufacturers, importers or higher-level wholesalers and sell them to lower-level wholesalers, hospitals, or retail pharmacies (AS)</w:t>
      </w:r>
    </w:p>
    <w:sectPr w:rsidR="0075041A" w:rsidRPr="0074017C" w:rsidSect="00AF6D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13D" w:rsidRDefault="003A313D" w:rsidP="006A3136">
      <w:pPr>
        <w:spacing w:after="0" w:line="240" w:lineRule="auto"/>
      </w:pPr>
      <w:r>
        <w:separator/>
      </w:r>
    </w:p>
  </w:endnote>
  <w:endnote w:type="continuationSeparator" w:id="1">
    <w:p w:rsidR="003A313D" w:rsidRDefault="003A313D" w:rsidP="006A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455"/>
      <w:docPartObj>
        <w:docPartGallery w:val="Page Numbers (Bottom of Page)"/>
        <w:docPartUnique/>
      </w:docPartObj>
    </w:sdtPr>
    <w:sdtContent>
      <w:p w:rsidR="00815C58" w:rsidRDefault="000A3BB1">
        <w:pPr>
          <w:pStyle w:val="Footer"/>
          <w:jc w:val="right"/>
        </w:pPr>
        <w:fldSimple w:instr=" PAGE   \* MERGEFORMAT ">
          <w:r w:rsidR="00675466">
            <w:rPr>
              <w:noProof/>
            </w:rPr>
            <w:t>1</w:t>
          </w:r>
        </w:fldSimple>
      </w:p>
    </w:sdtContent>
  </w:sdt>
  <w:p w:rsidR="00815C58" w:rsidRDefault="00815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13D" w:rsidRDefault="003A313D" w:rsidP="006A3136">
      <w:pPr>
        <w:spacing w:after="0" w:line="240" w:lineRule="auto"/>
      </w:pPr>
      <w:r>
        <w:separator/>
      </w:r>
    </w:p>
  </w:footnote>
  <w:footnote w:type="continuationSeparator" w:id="1">
    <w:p w:rsidR="003A313D" w:rsidRDefault="003A313D" w:rsidP="006A3136">
      <w:pPr>
        <w:spacing w:after="0" w:line="240" w:lineRule="auto"/>
      </w:pPr>
      <w:r>
        <w:continuationSeparator/>
      </w:r>
    </w:p>
  </w:footnote>
  <w:footnote w:id="2">
    <w:p w:rsidR="00815C58" w:rsidRPr="00286AC2" w:rsidRDefault="00815C58" w:rsidP="00192397">
      <w:pPr>
        <w:pStyle w:val="FootnoteText"/>
      </w:pPr>
      <w:r>
        <w:rPr>
          <w:rStyle w:val="FootnoteReference"/>
        </w:rPr>
        <w:footnoteRef/>
      </w:r>
      <w:r>
        <w:t xml:space="preserve"> Project concept note – Albania Health System Improvement Project (P144688)</w:t>
      </w:r>
    </w:p>
  </w:footnote>
  <w:footnote w:id="3">
    <w:p w:rsidR="00815C58" w:rsidRPr="00610AAB" w:rsidRDefault="00815C58">
      <w:pPr>
        <w:pStyle w:val="FootnoteText"/>
      </w:pPr>
      <w:r>
        <w:rPr>
          <w:rStyle w:val="FootnoteReference"/>
        </w:rPr>
        <w:footnoteRef/>
      </w:r>
      <w:r>
        <w:t xml:space="preserve">Nuri, B. </w:t>
      </w:r>
      <w:r w:rsidRPr="00610AAB">
        <w:t>&amp;Tragakes, E. (2002). Health Care Systems in Transition</w:t>
      </w:r>
    </w:p>
  </w:footnote>
  <w:footnote w:id="4">
    <w:p w:rsidR="00815C58" w:rsidRPr="00B30A5F" w:rsidRDefault="00815C58">
      <w:pPr>
        <w:pStyle w:val="FootnoteText"/>
        <w:rPr>
          <w:lang w:val="hr-HR"/>
        </w:rPr>
      </w:pPr>
      <w:r>
        <w:rPr>
          <w:rStyle w:val="FootnoteReference"/>
        </w:rPr>
        <w:footnoteRef/>
      </w:r>
      <w:r w:rsidRPr="00DD7A6F">
        <w:t>Kurti, S. (2011).</w:t>
      </w:r>
      <w:r w:rsidRPr="00610AAB">
        <w:t>Albania: Health Care System in the Course of Health Reform. An Overview of Health Insurance System. Mediterranean Journal of Social Sciences, 2(3), 146–158. doi:10.5901/mjss.2011.v2n3p146</w:t>
      </w:r>
    </w:p>
  </w:footnote>
  <w:footnote w:id="5">
    <w:p w:rsidR="00815C58" w:rsidRPr="00286AC2" w:rsidRDefault="00815C58" w:rsidP="00564666">
      <w:pPr>
        <w:pStyle w:val="FootnoteText"/>
      </w:pPr>
      <w:r>
        <w:rPr>
          <w:rStyle w:val="FootnoteReference"/>
        </w:rPr>
        <w:footnoteRef/>
      </w:r>
      <w:r>
        <w:t xml:space="preserve"> Revised Health Chapter</w:t>
      </w:r>
    </w:p>
  </w:footnote>
  <w:footnote w:id="6">
    <w:p w:rsidR="00815C58" w:rsidRPr="00A656CE" w:rsidRDefault="00815C58" w:rsidP="00B30A5F">
      <w:pPr>
        <w:pStyle w:val="FootnoteText"/>
      </w:pPr>
      <w:r>
        <w:rPr>
          <w:rStyle w:val="FootnoteReference"/>
        </w:rPr>
        <w:footnoteRef/>
      </w:r>
      <w:r w:rsidRPr="00A656CE">
        <w:t>Aide Memoire - Identification Mission for the proposed Health System Improvement project, (January 6 – 20)</w:t>
      </w:r>
    </w:p>
  </w:footnote>
  <w:footnote w:id="7">
    <w:p w:rsidR="00815C58" w:rsidRPr="00A656CE" w:rsidRDefault="00815C58" w:rsidP="000C1BF8">
      <w:pPr>
        <w:pStyle w:val="FootnoteText"/>
      </w:pPr>
      <w:r>
        <w:rPr>
          <w:rStyle w:val="FootnoteReference"/>
        </w:rPr>
        <w:footnoteRef/>
      </w:r>
      <w:r w:rsidRPr="00A656CE">
        <w:t>Aide Memoire - Identification Mission for the proposed Health System Improvement project, (January 6 – 20)</w:t>
      </w:r>
    </w:p>
  </w:footnote>
  <w:footnote w:id="8">
    <w:p w:rsidR="00815C58" w:rsidRPr="00B30A5F" w:rsidRDefault="00815C58">
      <w:pPr>
        <w:pStyle w:val="FootnoteText"/>
      </w:pPr>
      <w:r w:rsidRPr="00B30A5F">
        <w:rPr>
          <w:rStyle w:val="FootnoteReference"/>
        </w:rPr>
        <w:footnoteRef/>
      </w:r>
      <w:r>
        <w:t xml:space="preserve">Nuri, B. </w:t>
      </w:r>
      <w:r w:rsidRPr="00610AAB">
        <w:t>&amp;Tragakes, E. (2002). Health Care Systems in Transition</w:t>
      </w:r>
    </w:p>
  </w:footnote>
  <w:footnote w:id="9">
    <w:p w:rsidR="00815C58" w:rsidRPr="0011104A" w:rsidRDefault="00815C58" w:rsidP="00AB2ECE">
      <w:pPr>
        <w:pStyle w:val="FootnoteText"/>
      </w:pPr>
      <w:r w:rsidRPr="0011104A">
        <w:rPr>
          <w:rStyle w:val="FootnoteReference"/>
        </w:rPr>
        <w:footnoteRef/>
      </w:r>
      <w:r w:rsidRPr="0011104A">
        <w:t xml:space="preserve"> This is a list of 24 drugs that are kept on a separate list for treatment of chronic diseases and cancer. Supply is controlled to hospitals only, and only a select list of physicians in the country are allowed to prescribe these drugs.</w:t>
      </w:r>
    </w:p>
  </w:footnote>
  <w:footnote w:id="10">
    <w:p w:rsidR="00815C58" w:rsidRPr="00AB2ECE" w:rsidRDefault="00815C58">
      <w:pPr>
        <w:pStyle w:val="FootnoteText"/>
      </w:pPr>
      <w:r>
        <w:rPr>
          <w:rStyle w:val="FootnoteReference"/>
        </w:rPr>
        <w:footnoteRef/>
      </w:r>
      <w:r>
        <w:t xml:space="preserve"> EMINET – The Pharmaceutical Distribution Chain in the EU: Structure and Impact on Pharmaceutical Prices, Kanavos, Schurer&amp;Vogler, March 2011</w:t>
      </w:r>
    </w:p>
  </w:footnote>
  <w:footnote w:id="11">
    <w:p w:rsidR="00815C58" w:rsidRPr="006C7865" w:rsidRDefault="00815C58">
      <w:pPr>
        <w:pStyle w:val="FootnoteText"/>
        <w:rPr>
          <w:lang w:val="hr-HR"/>
        </w:rPr>
      </w:pPr>
      <w:r>
        <w:rPr>
          <w:rStyle w:val="FootnoteReference"/>
        </w:rPr>
        <w:footnoteRef/>
      </w:r>
      <w:r w:rsidRPr="00A656CE">
        <w:t>Aide Memoire - Identification Mission for the proposed Health System Improvement project, (January 6 – 20)</w:t>
      </w:r>
    </w:p>
  </w:footnote>
  <w:footnote w:id="12">
    <w:p w:rsidR="00815C58" w:rsidRDefault="00815C58" w:rsidP="00F554D6">
      <w:pPr>
        <w:pStyle w:val="FootnoteText"/>
        <w:rPr>
          <w:lang w:val="hr-HR"/>
        </w:rPr>
      </w:pPr>
      <w:r>
        <w:rPr>
          <w:rStyle w:val="FootnoteReference"/>
        </w:rPr>
        <w:footnoteRef/>
      </w:r>
      <w:r>
        <w:t>http</w:t>
      </w:r>
      <w:r>
        <w:rPr>
          <w:lang w:val="hr-HR"/>
        </w:rPr>
        <w:t>://</w:t>
      </w:r>
      <w:r>
        <w:t>www</w:t>
      </w:r>
      <w:r>
        <w:rPr>
          <w:lang w:val="hr-HR"/>
        </w:rPr>
        <w:t>.</w:t>
      </w:r>
      <w:r>
        <w:t>nice</w:t>
      </w:r>
      <w:r>
        <w:rPr>
          <w:lang w:val="hr-HR"/>
        </w:rPr>
        <w:t>.</w:t>
      </w:r>
      <w:r>
        <w:t>org</w:t>
      </w:r>
      <w:r>
        <w:rPr>
          <w:lang w:val="hr-HR"/>
        </w:rPr>
        <w:t>.</w:t>
      </w:r>
      <w:r>
        <w:t>uk</w:t>
      </w:r>
      <w:r>
        <w:rPr>
          <w:lang w:val="hr-HR"/>
        </w:rPr>
        <w:t>/</w:t>
      </w:r>
      <w:r>
        <w:t>nicemedia</w:t>
      </w:r>
      <w:r>
        <w:rPr>
          <w:lang w:val="hr-HR"/>
        </w:rPr>
        <w:t>/</w:t>
      </w:r>
      <w:r>
        <w:t>live</w:t>
      </w:r>
      <w:r>
        <w:rPr>
          <w:lang w:val="hr-HR"/>
        </w:rPr>
        <w:t>/14157/63691/63691.</w:t>
      </w:r>
      <w:r>
        <w:t>pdf</w:t>
      </w:r>
    </w:p>
  </w:footnote>
  <w:footnote w:id="13">
    <w:p w:rsidR="00815C58" w:rsidRDefault="00815C58" w:rsidP="00F554D6">
      <w:pPr>
        <w:pStyle w:val="FootnoteText"/>
        <w:rPr>
          <w:lang w:val="hr-HR"/>
        </w:rPr>
      </w:pPr>
      <w:r>
        <w:rPr>
          <w:rStyle w:val="FootnoteReference"/>
        </w:rPr>
        <w:footnoteRef/>
      </w:r>
      <w:r>
        <w:t>http</w:t>
      </w:r>
      <w:r>
        <w:rPr>
          <w:lang w:val="hr-HR"/>
        </w:rPr>
        <w:t>://</w:t>
      </w:r>
      <w:r>
        <w:t>www</w:t>
      </w:r>
      <w:r>
        <w:rPr>
          <w:lang w:val="hr-HR"/>
        </w:rPr>
        <w:t>.</w:t>
      </w:r>
      <w:r>
        <w:t>nice</w:t>
      </w:r>
      <w:r>
        <w:rPr>
          <w:lang w:val="hr-HR"/>
        </w:rPr>
        <w:t>.</w:t>
      </w:r>
      <w:r>
        <w:t>org</w:t>
      </w:r>
      <w:r>
        <w:rPr>
          <w:lang w:val="hr-HR"/>
        </w:rPr>
        <w:t>.</w:t>
      </w:r>
      <w:r>
        <w:t>uk</w:t>
      </w:r>
      <w:r>
        <w:rPr>
          <w:lang w:val="hr-HR"/>
        </w:rPr>
        <w:t>/</w:t>
      </w:r>
      <w:r>
        <w:t>nicemedia</w:t>
      </w:r>
      <w:r>
        <w:rPr>
          <w:lang w:val="hr-HR"/>
        </w:rPr>
        <w:t>/</w:t>
      </w:r>
      <w:r>
        <w:t>live</w:t>
      </w:r>
      <w:r>
        <w:rPr>
          <w:lang w:val="hr-HR"/>
        </w:rPr>
        <w:t>/13716/58911/58911.</w:t>
      </w:r>
      <w:r>
        <w:t>pdf</w:t>
      </w:r>
    </w:p>
  </w:footnote>
  <w:footnote w:id="14">
    <w:p w:rsidR="00815C58" w:rsidRDefault="00815C58" w:rsidP="00F554D6">
      <w:pPr>
        <w:pStyle w:val="FootnoteText"/>
        <w:rPr>
          <w:lang w:val="hr-HR"/>
        </w:rPr>
      </w:pPr>
      <w:r>
        <w:rPr>
          <w:rStyle w:val="FootnoteReference"/>
        </w:rPr>
        <w:footnoteRef/>
      </w:r>
      <w:r>
        <w:t>www</w:t>
      </w:r>
      <w:r>
        <w:rPr>
          <w:lang w:val="hr-HR"/>
        </w:rPr>
        <w:t>.</w:t>
      </w:r>
      <w:r>
        <w:t>scottishmedicines</w:t>
      </w:r>
      <w:r>
        <w:rPr>
          <w:lang w:val="hr-HR"/>
        </w:rPr>
        <w:t>.</w:t>
      </w:r>
      <w:r>
        <w:t>org</w:t>
      </w:r>
      <w:r>
        <w:rPr>
          <w:lang w:val="hr-HR"/>
        </w:rPr>
        <w:t>.</w:t>
      </w:r>
      <w:r>
        <w:t>uk</w:t>
      </w:r>
      <w:r>
        <w:rPr>
          <w:lang w:val="hr-HR"/>
        </w:rPr>
        <w:t>/</w:t>
      </w:r>
      <w:r>
        <w:t>SMC</w:t>
      </w:r>
      <w:r>
        <w:rPr>
          <w:lang w:val="hr-HR"/>
        </w:rPr>
        <w:t>_</w:t>
      </w:r>
      <w:r>
        <w:t>Advice</w:t>
      </w:r>
      <w:r>
        <w:rPr>
          <w:lang w:val="hr-HR"/>
        </w:rPr>
        <w:t>/</w:t>
      </w:r>
      <w:r>
        <w:t>Advice</w:t>
      </w:r>
      <w:r>
        <w:rPr>
          <w:lang w:val="hr-HR"/>
        </w:rPr>
        <w:t>/763_12_</w:t>
      </w:r>
      <w:r>
        <w:t>fingolimod</w:t>
      </w:r>
      <w:r>
        <w:rPr>
          <w:lang w:val="hr-HR"/>
        </w:rPr>
        <w:t>_</w:t>
      </w:r>
      <w:r>
        <w:t>Gilenya</w:t>
      </w:r>
      <w:r>
        <w:rPr>
          <w:lang w:val="hr-HR"/>
        </w:rPr>
        <w:t>/</w:t>
      </w:r>
      <w:r>
        <w:t>fingolimod</w:t>
      </w:r>
      <w:r>
        <w:rPr>
          <w:lang w:val="hr-HR"/>
        </w:rPr>
        <w:t>_</w:t>
      </w:r>
      <w:r>
        <w:t>Gilenya</w:t>
      </w:r>
      <w:r>
        <w:rPr>
          <w:lang w:val="hr-HR"/>
        </w:rPr>
        <w:t>_</w:t>
      </w:r>
      <w:r>
        <w:t>Resubmission</w:t>
      </w:r>
    </w:p>
  </w:footnote>
  <w:footnote w:id="15">
    <w:p w:rsidR="00815C58" w:rsidRDefault="00815C58" w:rsidP="00F554D6">
      <w:pPr>
        <w:pStyle w:val="FootnoteText"/>
        <w:rPr>
          <w:lang w:val="hr-HR"/>
        </w:rPr>
      </w:pPr>
      <w:r>
        <w:rPr>
          <w:rStyle w:val="FootnoteReference"/>
        </w:rPr>
        <w:footnoteRef/>
      </w:r>
      <w:r>
        <w:t>http</w:t>
      </w:r>
      <w:r>
        <w:rPr>
          <w:lang w:val="hr-HR"/>
        </w:rPr>
        <w:t>://</w:t>
      </w:r>
      <w:r>
        <w:t>guidance</w:t>
      </w:r>
      <w:r>
        <w:rPr>
          <w:lang w:val="hr-HR"/>
        </w:rPr>
        <w:t>.</w:t>
      </w:r>
      <w:r>
        <w:t>nice</w:t>
      </w:r>
      <w:r>
        <w:rPr>
          <w:lang w:val="hr-HR"/>
        </w:rPr>
        <w:t>.</w:t>
      </w:r>
      <w:r>
        <w:t>org</w:t>
      </w:r>
      <w:r>
        <w:rPr>
          <w:lang w:val="hr-HR"/>
        </w:rPr>
        <w:t>.</w:t>
      </w:r>
      <w:r>
        <w:t>uk</w:t>
      </w:r>
      <w:r>
        <w:rPr>
          <w:lang w:val="hr-HR"/>
        </w:rPr>
        <w:t>/</w:t>
      </w:r>
      <w:r>
        <w:t>TA</w:t>
      </w:r>
      <w:r>
        <w:rPr>
          <w:lang w:val="hr-HR"/>
        </w:rPr>
        <w:t>212</w:t>
      </w:r>
    </w:p>
  </w:footnote>
  <w:footnote w:id="16">
    <w:p w:rsidR="00815C58" w:rsidRDefault="00815C58" w:rsidP="00F554D6">
      <w:pPr>
        <w:pStyle w:val="FootnoteText"/>
        <w:rPr>
          <w:lang w:val="hr-HR"/>
        </w:rPr>
      </w:pPr>
      <w:r>
        <w:rPr>
          <w:rStyle w:val="FootnoteReference"/>
        </w:rPr>
        <w:footnoteRef/>
      </w:r>
      <w:r>
        <w:t>http</w:t>
      </w:r>
      <w:r>
        <w:rPr>
          <w:lang w:val="hr-HR"/>
        </w:rPr>
        <w:t>://</w:t>
      </w:r>
      <w:r>
        <w:t>guidance</w:t>
      </w:r>
      <w:r>
        <w:rPr>
          <w:lang w:val="hr-HR"/>
        </w:rPr>
        <w:t>.</w:t>
      </w:r>
      <w:r>
        <w:t>nice</w:t>
      </w:r>
      <w:r>
        <w:rPr>
          <w:lang w:val="hr-HR"/>
        </w:rPr>
        <w:t>.</w:t>
      </w:r>
      <w:r>
        <w:t>org</w:t>
      </w:r>
      <w:r>
        <w:rPr>
          <w:lang w:val="hr-HR"/>
        </w:rPr>
        <w:t>.</w:t>
      </w:r>
      <w:r>
        <w:t>uk</w:t>
      </w:r>
      <w:r>
        <w:rPr>
          <w:lang w:val="hr-HR"/>
        </w:rPr>
        <w:t>/</w:t>
      </w:r>
      <w:r>
        <w:t>TA</w:t>
      </w:r>
      <w:r>
        <w:rPr>
          <w:lang w:val="hr-HR"/>
        </w:rPr>
        <w:t>190</w:t>
      </w:r>
    </w:p>
  </w:footnote>
  <w:footnote w:id="17">
    <w:p w:rsidR="00815C58" w:rsidRDefault="00815C58" w:rsidP="00F554D6">
      <w:pPr>
        <w:pStyle w:val="FootnoteText"/>
        <w:rPr>
          <w:lang w:val="hr-HR"/>
        </w:rPr>
      </w:pPr>
      <w:r>
        <w:rPr>
          <w:rStyle w:val="FootnoteReference"/>
        </w:rPr>
        <w:footnoteRef/>
      </w:r>
      <w:r>
        <w:t>http</w:t>
      </w:r>
      <w:r>
        <w:rPr>
          <w:lang w:val="hr-HR"/>
        </w:rPr>
        <w:t>://</w:t>
      </w:r>
      <w:r>
        <w:t>publications</w:t>
      </w:r>
      <w:r>
        <w:rPr>
          <w:lang w:val="hr-HR"/>
        </w:rPr>
        <w:t>.</w:t>
      </w:r>
      <w:r>
        <w:t>nice</w:t>
      </w:r>
      <w:r>
        <w:rPr>
          <w:lang w:val="hr-HR"/>
        </w:rPr>
        <w:t>.</w:t>
      </w:r>
      <w:r>
        <w:t>org</w:t>
      </w:r>
      <w:r>
        <w:rPr>
          <w:lang w:val="hr-HR"/>
        </w:rPr>
        <w:t>.</w:t>
      </w:r>
      <w:r>
        <w:t>uk</w:t>
      </w:r>
      <w:r>
        <w:rPr>
          <w:lang w:val="hr-HR"/>
        </w:rPr>
        <w:t>/</w:t>
      </w:r>
      <w:r>
        <w:t>bortezomib</w:t>
      </w:r>
      <w:r>
        <w:rPr>
          <w:lang w:val="hr-HR"/>
        </w:rPr>
        <w:t>-</w:t>
      </w:r>
      <w:r>
        <w:t>monotherapy</w:t>
      </w:r>
      <w:r>
        <w:rPr>
          <w:lang w:val="hr-HR"/>
        </w:rPr>
        <w:t>-</w:t>
      </w:r>
      <w:r>
        <w:t>for</w:t>
      </w:r>
      <w:r>
        <w:rPr>
          <w:lang w:val="hr-HR"/>
        </w:rPr>
        <w:t>-</w:t>
      </w:r>
      <w:r>
        <w:t>relapsed</w:t>
      </w:r>
      <w:r>
        <w:rPr>
          <w:lang w:val="hr-HR"/>
        </w:rPr>
        <w:t>-</w:t>
      </w:r>
      <w:r>
        <w:t>multiple</w:t>
      </w:r>
      <w:r>
        <w:rPr>
          <w:lang w:val="hr-HR"/>
        </w:rPr>
        <w:t>-</w:t>
      </w:r>
      <w:r>
        <w:t>myeloma</w:t>
      </w:r>
      <w:r>
        <w:rPr>
          <w:lang w:val="hr-HR"/>
        </w:rPr>
        <w:t>-</w:t>
      </w:r>
      <w:r>
        <w:t>ta</w:t>
      </w:r>
      <w:r>
        <w:rPr>
          <w:lang w:val="hr-HR"/>
        </w:rPr>
        <w:t>129</w:t>
      </w:r>
    </w:p>
  </w:footnote>
  <w:footnote w:id="18">
    <w:p w:rsidR="00815C58" w:rsidRPr="009F65E7" w:rsidRDefault="00815C58">
      <w:pPr>
        <w:pStyle w:val="FootnoteText"/>
      </w:pPr>
      <w:r>
        <w:rPr>
          <w:rStyle w:val="FootnoteReference"/>
        </w:rPr>
        <w:footnoteRef/>
      </w:r>
      <w:r w:rsidRPr="00A656CE">
        <w:t>Aide Memoire - Identification Mission for the proposed Health System Improv</w:t>
      </w:r>
      <w:r>
        <w:t>ement project, (January 6 – 20)</w:t>
      </w:r>
    </w:p>
  </w:footnote>
  <w:footnote w:id="19">
    <w:p w:rsidR="00815C58" w:rsidRPr="00FB0313" w:rsidRDefault="00815C58">
      <w:pPr>
        <w:pStyle w:val="FootnoteText"/>
        <w:rPr>
          <w:lang w:val="hr-HR"/>
        </w:rPr>
      </w:pPr>
      <w:r>
        <w:rPr>
          <w:rStyle w:val="FootnoteReference"/>
        </w:rPr>
        <w:footnoteRef/>
      </w:r>
      <w:r w:rsidRPr="00FB0313">
        <w:t>http</w:t>
      </w:r>
      <w:r w:rsidRPr="00AB2ECE">
        <w:rPr>
          <w:lang w:val="hr-HR"/>
        </w:rPr>
        <w:t>://</w:t>
      </w:r>
      <w:r w:rsidRPr="00FB0313">
        <w:t>www</w:t>
      </w:r>
      <w:r w:rsidRPr="00AB2ECE">
        <w:rPr>
          <w:lang w:val="hr-HR"/>
        </w:rPr>
        <w:t>.</w:t>
      </w:r>
      <w:r w:rsidRPr="00FB0313">
        <w:t>bankofalbania</w:t>
      </w:r>
      <w:r w:rsidRPr="00AB2ECE">
        <w:rPr>
          <w:lang w:val="hr-HR"/>
        </w:rPr>
        <w:t>.</w:t>
      </w:r>
      <w:r w:rsidRPr="00FB0313">
        <w:t>org</w:t>
      </w:r>
      <w:r w:rsidRPr="00AB2ECE">
        <w:rPr>
          <w:lang w:val="hr-HR"/>
        </w:rPr>
        <w:t>/</w:t>
      </w:r>
      <w:r w:rsidRPr="00FB0313">
        <w:t>web</w:t>
      </w:r>
      <w:r w:rsidRPr="00AB2ECE">
        <w:rPr>
          <w:lang w:val="hr-HR"/>
        </w:rPr>
        <w:t>/</w:t>
      </w:r>
      <w:r w:rsidRPr="00FB0313">
        <w:t>Exchange</w:t>
      </w:r>
      <w:r w:rsidRPr="00AB2ECE">
        <w:rPr>
          <w:lang w:val="hr-HR"/>
        </w:rPr>
        <w:t>_</w:t>
      </w:r>
      <w:r w:rsidRPr="00FB0313">
        <w:t>Rates</w:t>
      </w:r>
      <w:r w:rsidRPr="00AB2ECE">
        <w:rPr>
          <w:lang w:val="hr-HR"/>
        </w:rPr>
        <w:t>_2014_2.</w:t>
      </w:r>
      <w:r w:rsidRPr="00FB0313">
        <w:t>php</w:t>
      </w:r>
    </w:p>
  </w:footnote>
  <w:footnote w:id="20">
    <w:p w:rsidR="00815C58" w:rsidRPr="00AA1C12" w:rsidRDefault="00815C58">
      <w:pPr>
        <w:pStyle w:val="FootnoteText"/>
        <w:rPr>
          <w:lang w:val="hr-HR"/>
        </w:rPr>
      </w:pPr>
      <w:r>
        <w:rPr>
          <w:rStyle w:val="FootnoteReference"/>
        </w:rPr>
        <w:footnoteRef/>
      </w:r>
      <w:r w:rsidRPr="00AA1C12">
        <w:t>http</w:t>
      </w:r>
      <w:r w:rsidRPr="00AA1C12">
        <w:rPr>
          <w:lang w:val="hr-HR"/>
        </w:rPr>
        <w:t>://</w:t>
      </w:r>
      <w:r w:rsidRPr="00AA1C12">
        <w:t>www</w:t>
      </w:r>
      <w:r w:rsidRPr="00AA1C12">
        <w:rPr>
          <w:lang w:val="hr-HR"/>
        </w:rPr>
        <w:t>.</w:t>
      </w:r>
      <w:r w:rsidRPr="00AA1C12">
        <w:t>hnb</w:t>
      </w:r>
      <w:r w:rsidRPr="00AA1C12">
        <w:rPr>
          <w:lang w:val="hr-HR"/>
        </w:rPr>
        <w:t>.</w:t>
      </w:r>
      <w:r w:rsidRPr="00AA1C12">
        <w:t>hr</w:t>
      </w:r>
      <w:r w:rsidRPr="00AA1C12">
        <w:rPr>
          <w:lang w:val="hr-HR"/>
        </w:rPr>
        <w:t>/</w:t>
      </w:r>
      <w:r w:rsidRPr="00AA1C12">
        <w:t>tecajn</w:t>
      </w:r>
      <w:r w:rsidRPr="00AA1C12">
        <w:rPr>
          <w:lang w:val="hr-HR"/>
        </w:rPr>
        <w:t>/</w:t>
      </w:r>
      <w:r w:rsidRPr="00AA1C12">
        <w:t>htecajn</w:t>
      </w:r>
      <w:r w:rsidRPr="00AA1C12">
        <w:rPr>
          <w:lang w:val="hr-HR"/>
        </w:rPr>
        <w:t>.</w:t>
      </w:r>
      <w:r w:rsidRPr="00AA1C12">
        <w:t>htm</w:t>
      </w:r>
    </w:p>
  </w:footnote>
  <w:footnote w:id="21">
    <w:p w:rsidR="00815C58" w:rsidRPr="00DA094E" w:rsidRDefault="00815C58">
      <w:pPr>
        <w:pStyle w:val="FootnoteText"/>
        <w:rPr>
          <w:lang w:val="hr-HR"/>
        </w:rPr>
      </w:pPr>
      <w:r>
        <w:rPr>
          <w:rStyle w:val="FootnoteReference"/>
        </w:rPr>
        <w:footnoteRef/>
      </w:r>
      <w:r w:rsidRPr="00DA094E">
        <w:t>http</w:t>
      </w:r>
      <w:r w:rsidRPr="00DA094E">
        <w:rPr>
          <w:lang w:val="hr-HR"/>
        </w:rPr>
        <w:t>://</w:t>
      </w:r>
      <w:r w:rsidRPr="00DA094E">
        <w:t>www</w:t>
      </w:r>
      <w:r w:rsidRPr="00DA094E">
        <w:rPr>
          <w:lang w:val="hr-HR"/>
        </w:rPr>
        <w:t>.</w:t>
      </w:r>
      <w:r w:rsidRPr="00DA094E">
        <w:t>kursna</w:t>
      </w:r>
      <w:r w:rsidRPr="00DA094E">
        <w:rPr>
          <w:lang w:val="hr-HR"/>
        </w:rPr>
        <w:t>-</w:t>
      </w:r>
      <w:r w:rsidRPr="00DA094E">
        <w:t>lista</w:t>
      </w:r>
      <w:r w:rsidRPr="00DA094E">
        <w:rPr>
          <w:lang w:val="hr-HR"/>
        </w:rPr>
        <w:t>.</w:t>
      </w:r>
      <w:r w:rsidRPr="00DA094E">
        <w:t>com</w:t>
      </w:r>
      <w:r w:rsidRPr="00DA094E">
        <w:rPr>
          <w:lang w:val="hr-HR"/>
        </w:rPr>
        <w:t>/</w:t>
      </w:r>
      <w:r w:rsidRPr="00DA094E">
        <w:t>kursna</w:t>
      </w:r>
      <w:r w:rsidRPr="00DA094E">
        <w:rPr>
          <w:lang w:val="hr-HR"/>
        </w:rPr>
        <w:t>-</w:t>
      </w:r>
      <w:r w:rsidRPr="00DA094E">
        <w:t>lista</w:t>
      </w:r>
      <w:r w:rsidRPr="00DA094E">
        <w:rPr>
          <w:lang w:val="hr-HR"/>
        </w:rPr>
        <w:t>-</w:t>
      </w:r>
      <w:r w:rsidRPr="00DA094E">
        <w:t>nbs</w:t>
      </w:r>
    </w:p>
  </w:footnote>
  <w:footnote w:id="22">
    <w:p w:rsidR="00815C58" w:rsidRPr="00380002" w:rsidRDefault="00815C58">
      <w:pPr>
        <w:pStyle w:val="FootnoteText"/>
        <w:rPr>
          <w:lang w:val="hr-HR"/>
        </w:rPr>
      </w:pPr>
      <w:r>
        <w:rPr>
          <w:rStyle w:val="FootnoteReference"/>
        </w:rPr>
        <w:footnoteRef/>
      </w:r>
      <w:r w:rsidRPr="00380002">
        <w:rPr>
          <w:lang w:val="hr-HR"/>
        </w:rPr>
        <w:t>http://www.nbrm.mk/</w:t>
      </w:r>
    </w:p>
  </w:footnote>
  <w:footnote w:id="23">
    <w:p w:rsidR="00815C58" w:rsidRPr="00FB0313" w:rsidRDefault="00815C58" w:rsidP="00731DF1">
      <w:pPr>
        <w:pStyle w:val="FootnoteText"/>
        <w:rPr>
          <w:lang w:val="hr-HR"/>
        </w:rPr>
      </w:pPr>
      <w:r>
        <w:rPr>
          <w:rStyle w:val="FootnoteReference"/>
        </w:rPr>
        <w:footnoteRef/>
      </w:r>
      <w:r w:rsidRPr="00FB0313">
        <w:t>http</w:t>
      </w:r>
      <w:r w:rsidRPr="00731DF1">
        <w:rPr>
          <w:lang w:val="hr-HR"/>
        </w:rPr>
        <w:t>://</w:t>
      </w:r>
      <w:r w:rsidRPr="00FB0313">
        <w:t>www</w:t>
      </w:r>
      <w:r w:rsidRPr="00731DF1">
        <w:rPr>
          <w:lang w:val="hr-HR"/>
        </w:rPr>
        <w:t>.</w:t>
      </w:r>
      <w:r w:rsidRPr="00FB0313">
        <w:t>bankofalbania</w:t>
      </w:r>
      <w:r w:rsidRPr="00731DF1">
        <w:rPr>
          <w:lang w:val="hr-HR"/>
        </w:rPr>
        <w:t>.</w:t>
      </w:r>
      <w:r w:rsidRPr="00FB0313">
        <w:t>org</w:t>
      </w:r>
      <w:r w:rsidRPr="00731DF1">
        <w:rPr>
          <w:lang w:val="hr-HR"/>
        </w:rPr>
        <w:t>/</w:t>
      </w:r>
      <w:r w:rsidRPr="00FB0313">
        <w:t>web</w:t>
      </w:r>
      <w:r w:rsidRPr="00731DF1">
        <w:rPr>
          <w:lang w:val="hr-HR"/>
        </w:rPr>
        <w:t>/</w:t>
      </w:r>
      <w:r w:rsidRPr="00FB0313">
        <w:t>Exchange</w:t>
      </w:r>
      <w:r w:rsidRPr="00731DF1">
        <w:rPr>
          <w:lang w:val="hr-HR"/>
        </w:rPr>
        <w:t>_</w:t>
      </w:r>
      <w:r w:rsidRPr="00FB0313">
        <w:t>Rates</w:t>
      </w:r>
      <w:r w:rsidRPr="00731DF1">
        <w:rPr>
          <w:lang w:val="hr-HR"/>
        </w:rPr>
        <w:t>_2014_2.</w:t>
      </w:r>
      <w:r w:rsidRPr="00FB0313">
        <w:t>php</w:t>
      </w:r>
    </w:p>
  </w:footnote>
  <w:footnote w:id="24">
    <w:p w:rsidR="00815C58" w:rsidRPr="00AA1C12" w:rsidRDefault="00815C58" w:rsidP="00731DF1">
      <w:pPr>
        <w:pStyle w:val="FootnoteText"/>
        <w:rPr>
          <w:lang w:val="hr-HR"/>
        </w:rPr>
      </w:pPr>
      <w:r>
        <w:rPr>
          <w:rStyle w:val="FootnoteReference"/>
        </w:rPr>
        <w:footnoteRef/>
      </w:r>
      <w:r w:rsidRPr="00AA1C12">
        <w:t>http</w:t>
      </w:r>
      <w:r w:rsidRPr="00AA1C12">
        <w:rPr>
          <w:lang w:val="hr-HR"/>
        </w:rPr>
        <w:t>://</w:t>
      </w:r>
      <w:r w:rsidRPr="00AA1C12">
        <w:t>www</w:t>
      </w:r>
      <w:r w:rsidRPr="00AA1C12">
        <w:rPr>
          <w:lang w:val="hr-HR"/>
        </w:rPr>
        <w:t>.</w:t>
      </w:r>
      <w:r w:rsidRPr="00AA1C12">
        <w:t>hnb</w:t>
      </w:r>
      <w:r w:rsidRPr="00AA1C12">
        <w:rPr>
          <w:lang w:val="hr-HR"/>
        </w:rPr>
        <w:t>.</w:t>
      </w:r>
      <w:r w:rsidRPr="00AA1C12">
        <w:t>hr</w:t>
      </w:r>
      <w:r w:rsidRPr="00AA1C12">
        <w:rPr>
          <w:lang w:val="hr-HR"/>
        </w:rPr>
        <w:t>/</w:t>
      </w:r>
      <w:r w:rsidRPr="00AA1C12">
        <w:t>tecajn</w:t>
      </w:r>
      <w:r w:rsidRPr="00AA1C12">
        <w:rPr>
          <w:lang w:val="hr-HR"/>
        </w:rPr>
        <w:t>/</w:t>
      </w:r>
      <w:r w:rsidRPr="00AA1C12">
        <w:t>htecajn</w:t>
      </w:r>
      <w:r w:rsidRPr="00AA1C12">
        <w:rPr>
          <w:lang w:val="hr-HR"/>
        </w:rPr>
        <w:t>.</w:t>
      </w:r>
      <w:r w:rsidRPr="00AA1C12">
        <w:t>htm</w:t>
      </w:r>
    </w:p>
  </w:footnote>
  <w:footnote w:id="25">
    <w:p w:rsidR="00815C58" w:rsidRPr="00DA094E" w:rsidRDefault="00815C58" w:rsidP="00731DF1">
      <w:pPr>
        <w:pStyle w:val="FootnoteText"/>
        <w:rPr>
          <w:lang w:val="hr-HR"/>
        </w:rPr>
      </w:pPr>
      <w:r>
        <w:rPr>
          <w:rStyle w:val="FootnoteReference"/>
        </w:rPr>
        <w:footnoteRef/>
      </w:r>
      <w:r w:rsidRPr="00DA094E">
        <w:t>http</w:t>
      </w:r>
      <w:r w:rsidRPr="00DA094E">
        <w:rPr>
          <w:lang w:val="hr-HR"/>
        </w:rPr>
        <w:t>://</w:t>
      </w:r>
      <w:r w:rsidRPr="00DA094E">
        <w:t>www</w:t>
      </w:r>
      <w:r w:rsidRPr="00DA094E">
        <w:rPr>
          <w:lang w:val="hr-HR"/>
        </w:rPr>
        <w:t>.</w:t>
      </w:r>
      <w:r w:rsidRPr="00DA094E">
        <w:t>kursna</w:t>
      </w:r>
      <w:r w:rsidRPr="00DA094E">
        <w:rPr>
          <w:lang w:val="hr-HR"/>
        </w:rPr>
        <w:t>-</w:t>
      </w:r>
      <w:r w:rsidRPr="00DA094E">
        <w:t>lista</w:t>
      </w:r>
      <w:r w:rsidRPr="00DA094E">
        <w:rPr>
          <w:lang w:val="hr-HR"/>
        </w:rPr>
        <w:t>.</w:t>
      </w:r>
      <w:r w:rsidRPr="00DA094E">
        <w:t>com</w:t>
      </w:r>
      <w:r w:rsidRPr="00DA094E">
        <w:rPr>
          <w:lang w:val="hr-HR"/>
        </w:rPr>
        <w:t>/</w:t>
      </w:r>
      <w:r w:rsidRPr="00DA094E">
        <w:t>kursna</w:t>
      </w:r>
      <w:r w:rsidRPr="00DA094E">
        <w:rPr>
          <w:lang w:val="hr-HR"/>
        </w:rPr>
        <w:t>-</w:t>
      </w:r>
      <w:r w:rsidRPr="00DA094E">
        <w:t>lista</w:t>
      </w:r>
      <w:r w:rsidRPr="00DA094E">
        <w:rPr>
          <w:lang w:val="hr-HR"/>
        </w:rPr>
        <w:t>-</w:t>
      </w:r>
      <w:r w:rsidRPr="00DA094E">
        <w:t>nbs</w:t>
      </w:r>
    </w:p>
  </w:footnote>
  <w:footnote w:id="26">
    <w:p w:rsidR="00815C58" w:rsidRPr="00380002" w:rsidRDefault="00815C58">
      <w:pPr>
        <w:pStyle w:val="FootnoteText"/>
        <w:rPr>
          <w:lang w:val="hr-HR"/>
        </w:rPr>
      </w:pPr>
      <w:r>
        <w:rPr>
          <w:rStyle w:val="FootnoteReference"/>
        </w:rPr>
        <w:footnoteRef/>
      </w:r>
      <w:r w:rsidRPr="00380002">
        <w:t>http</w:t>
      </w:r>
      <w:r w:rsidRPr="00126BD2">
        <w:rPr>
          <w:lang w:val="hr-HR"/>
        </w:rPr>
        <w:t>://</w:t>
      </w:r>
      <w:r w:rsidRPr="00380002">
        <w:t>www</w:t>
      </w:r>
      <w:r w:rsidRPr="00126BD2">
        <w:rPr>
          <w:lang w:val="hr-HR"/>
        </w:rPr>
        <w:t>.</w:t>
      </w:r>
      <w:r w:rsidRPr="00380002">
        <w:t>nbrm</w:t>
      </w:r>
      <w:r w:rsidRPr="00126BD2">
        <w:rPr>
          <w:lang w:val="hr-HR"/>
        </w:rPr>
        <w:t>.</w:t>
      </w:r>
      <w:r w:rsidRPr="00380002">
        <w:t>mk</w:t>
      </w:r>
      <w:r w:rsidRPr="00126BD2">
        <w:rPr>
          <w:lang w:val="hr-HR"/>
        </w:rPr>
        <w:t>/</w:t>
      </w:r>
    </w:p>
  </w:footnote>
  <w:footnote w:id="27">
    <w:p w:rsidR="00815C58" w:rsidRPr="00863F37" w:rsidRDefault="00815C58">
      <w:pPr>
        <w:pStyle w:val="FootnoteText"/>
        <w:rPr>
          <w:lang w:val="hr-HR"/>
        </w:rPr>
      </w:pPr>
      <w:r>
        <w:rPr>
          <w:rStyle w:val="FootnoteReference"/>
        </w:rPr>
        <w:footnoteRef/>
      </w:r>
      <w:r w:rsidRPr="00F079A7">
        <w:rPr>
          <w:lang w:val="de-DE"/>
        </w:rPr>
        <w:t>http</w:t>
      </w:r>
      <w:r w:rsidRPr="00126BD2">
        <w:rPr>
          <w:lang w:val="hr-HR"/>
        </w:rPr>
        <w:t>://</w:t>
      </w:r>
      <w:r w:rsidRPr="00F079A7">
        <w:rPr>
          <w:lang w:val="de-DE"/>
        </w:rPr>
        <w:t>www</w:t>
      </w:r>
      <w:r w:rsidRPr="00126BD2">
        <w:rPr>
          <w:lang w:val="hr-HR"/>
        </w:rPr>
        <w:t>.</w:t>
      </w:r>
      <w:r w:rsidRPr="00F079A7">
        <w:rPr>
          <w:lang w:val="de-DE"/>
        </w:rPr>
        <w:t>ispor</w:t>
      </w:r>
      <w:r w:rsidRPr="00126BD2">
        <w:rPr>
          <w:lang w:val="hr-HR"/>
        </w:rPr>
        <w:t>.</w:t>
      </w:r>
      <w:r w:rsidRPr="00F079A7">
        <w:rPr>
          <w:lang w:val="de-DE"/>
        </w:rPr>
        <w:t>org</w:t>
      </w:r>
      <w:r w:rsidRPr="00126BD2">
        <w:rPr>
          <w:lang w:val="hr-HR"/>
        </w:rPr>
        <w:t>/</w:t>
      </w:r>
      <w:r w:rsidRPr="00F079A7">
        <w:rPr>
          <w:lang w:val="de-DE"/>
        </w:rPr>
        <w:t>workpaper</w:t>
      </w:r>
      <w:r w:rsidRPr="00126BD2">
        <w:rPr>
          <w:lang w:val="hr-HR"/>
        </w:rPr>
        <w:t>/</w:t>
      </w:r>
      <w:r w:rsidRPr="00F079A7">
        <w:rPr>
          <w:lang w:val="de-DE"/>
        </w:rPr>
        <w:t>BudgetImpactAnalysis</w:t>
      </w:r>
      <w:r w:rsidRPr="00126BD2">
        <w:rPr>
          <w:lang w:val="hr-HR"/>
        </w:rPr>
        <w:t>/</w:t>
      </w:r>
      <w:r w:rsidRPr="00F079A7">
        <w:rPr>
          <w:lang w:val="de-DE"/>
        </w:rPr>
        <w:t>BIA</w:t>
      </w:r>
      <w:r w:rsidRPr="00126BD2">
        <w:rPr>
          <w:lang w:val="hr-HR"/>
        </w:rPr>
        <w:t>_</w:t>
      </w:r>
      <w:r w:rsidRPr="00F079A7">
        <w:rPr>
          <w:lang w:val="de-DE"/>
        </w:rPr>
        <w:t>TF</w:t>
      </w:r>
      <w:r w:rsidRPr="00126BD2">
        <w:rPr>
          <w:lang w:val="hr-HR"/>
        </w:rPr>
        <w:t>0906.</w:t>
      </w:r>
      <w:r w:rsidRPr="00F079A7">
        <w:rPr>
          <w:lang w:val="de-DE"/>
        </w:rPr>
        <w:t>asp</w:t>
      </w:r>
    </w:p>
  </w:footnote>
  <w:footnote w:id="28">
    <w:p w:rsidR="00815C58" w:rsidRPr="00863F37" w:rsidRDefault="00815C58">
      <w:pPr>
        <w:pStyle w:val="FootnoteText"/>
        <w:rPr>
          <w:lang w:val="hr-HR"/>
        </w:rPr>
      </w:pPr>
      <w:r w:rsidRPr="00863F37">
        <w:rPr>
          <w:rStyle w:val="FootnoteReference"/>
        </w:rPr>
        <w:footnoteRef/>
      </w:r>
      <w:r w:rsidRPr="00863F37">
        <w:rPr>
          <w:bCs/>
        </w:rPr>
        <w:t>Council Directive 89/105/EEC</w:t>
      </w:r>
    </w:p>
  </w:footnote>
  <w:footnote w:id="29">
    <w:p w:rsidR="00815C58" w:rsidRPr="0073113C" w:rsidRDefault="00815C58">
      <w:pPr>
        <w:pStyle w:val="FootnoteText"/>
      </w:pPr>
      <w:r>
        <w:rPr>
          <w:rStyle w:val="FootnoteReference"/>
        </w:rPr>
        <w:footnoteRef/>
      </w:r>
      <w:r w:rsidRPr="0073113C">
        <w:t xml:space="preserve">Moran V. Health technology assessment in Europe: Communicating and applying lessons learned from high-income countries to middle-income countries. </w:t>
      </w:r>
      <w:r w:rsidRPr="0073113C">
        <w:rPr>
          <w:i/>
          <w:iCs/>
        </w:rPr>
        <w:t>Journal of Management &amp; Marketing in Healthcare</w:t>
      </w:r>
      <w:r w:rsidRPr="0073113C">
        <w:t>, 2010, 3(2):141-149.</w:t>
      </w:r>
    </w:p>
  </w:footnote>
  <w:footnote w:id="30">
    <w:p w:rsidR="00815C58" w:rsidRPr="00987F02" w:rsidRDefault="00815C58">
      <w:pPr>
        <w:pStyle w:val="FootnoteText"/>
        <w:rPr>
          <w:rFonts w:cs="Arial"/>
          <w:color w:val="333333"/>
        </w:rPr>
      </w:pPr>
      <w:r w:rsidRPr="00987F02">
        <w:rPr>
          <w:rStyle w:val="FootnoteReference"/>
        </w:rPr>
        <w:footnoteRef/>
      </w:r>
      <w:r w:rsidRPr="00987F02">
        <w:rPr>
          <w:rFonts w:cs="Arial"/>
          <w:color w:val="333333"/>
        </w:rPr>
        <w:t>Arickx F, Bormans V, Leveque F, Mortier M, Soete E, Vanhaeren E. Public tendering for off patent medicines in Belgium – the simvastatin case. Brussels: RIZIV/INAMI; 2009.</w:t>
      </w:r>
    </w:p>
  </w:footnote>
  <w:footnote w:id="31">
    <w:p w:rsidR="00815C58" w:rsidRPr="00080CA2" w:rsidRDefault="00815C58" w:rsidP="00080CA2">
      <w:pPr>
        <w:pStyle w:val="FootnoteText"/>
      </w:pPr>
      <w:r>
        <w:rPr>
          <w:rStyle w:val="FootnoteReference"/>
        </w:rPr>
        <w:footnoteRef/>
      </w:r>
      <w:r w:rsidRPr="00080CA2">
        <w:t>PricewaterhouseCoopers. Ontario public drug programs competitive agreement initiative. Ottawa: PricewaterhouseCoopers; 2007.</w:t>
      </w:r>
    </w:p>
    <w:p w:rsidR="00815C58" w:rsidRPr="00080CA2" w:rsidRDefault="00815C58">
      <w:pPr>
        <w:pStyle w:val="FootnoteText"/>
        <w:rPr>
          <w:lang w:val="hr-HR"/>
        </w:rPr>
      </w:pPr>
    </w:p>
  </w:footnote>
  <w:footnote w:id="32">
    <w:p w:rsidR="00815C58" w:rsidRPr="00BA0C9D" w:rsidRDefault="00815C58">
      <w:pPr>
        <w:pStyle w:val="FootnoteText"/>
        <w:rPr>
          <w:lang w:val="hr-HR"/>
        </w:rPr>
      </w:pPr>
      <w:r>
        <w:rPr>
          <w:rStyle w:val="FootnoteReference"/>
        </w:rPr>
        <w:footnoteRef/>
      </w:r>
      <w:r w:rsidRPr="00BA0C9D">
        <w:t>http://www.who.int/medicines/areas/rational_use/en/</w:t>
      </w:r>
    </w:p>
  </w:footnote>
  <w:footnote w:id="33">
    <w:p w:rsidR="00815C58" w:rsidRPr="00964A6D" w:rsidRDefault="00815C58">
      <w:pPr>
        <w:pStyle w:val="FootnoteText"/>
        <w:rPr>
          <w:lang w:val="hr-HR"/>
        </w:rPr>
      </w:pPr>
      <w:r>
        <w:rPr>
          <w:rStyle w:val="FootnoteReference"/>
        </w:rPr>
        <w:footnoteRef/>
      </w:r>
      <w:r w:rsidRPr="00964A6D">
        <w:t xml:space="preserve">See for example: Dor A, Encinosa WE. </w:t>
      </w:r>
      <w:r w:rsidRPr="00964A6D">
        <w:rPr>
          <w:i/>
          <w:iCs/>
        </w:rPr>
        <w:t>Does cost sharing affect compliance? The case of prescription drugs</w:t>
      </w:r>
      <w:r w:rsidRPr="00964A6D">
        <w:t>. National Bureau of Economic Research, 2004</w:t>
      </w:r>
    </w:p>
  </w:footnote>
  <w:footnote w:id="34">
    <w:p w:rsidR="00815C58" w:rsidRPr="00F353A0" w:rsidRDefault="00815C58">
      <w:pPr>
        <w:pStyle w:val="FootnoteText"/>
        <w:rPr>
          <w:lang w:val="hr-HR"/>
        </w:rPr>
      </w:pPr>
      <w:r>
        <w:rPr>
          <w:rStyle w:val="FootnoteReference"/>
        </w:rPr>
        <w:footnoteRef/>
      </w:r>
      <w:r w:rsidRPr="00F353A0">
        <w:t>http</w:t>
      </w:r>
      <w:r w:rsidRPr="00126BD2">
        <w:rPr>
          <w:lang w:val="hr-HR"/>
        </w:rPr>
        <w:t>://</w:t>
      </w:r>
      <w:r w:rsidRPr="00F353A0">
        <w:t>apps</w:t>
      </w:r>
      <w:r w:rsidRPr="00126BD2">
        <w:rPr>
          <w:lang w:val="hr-HR"/>
        </w:rPr>
        <w:t>.</w:t>
      </w:r>
      <w:r w:rsidRPr="00F353A0">
        <w:t>who</w:t>
      </w:r>
      <w:r w:rsidRPr="00126BD2">
        <w:rPr>
          <w:lang w:val="hr-HR"/>
        </w:rPr>
        <w:t>.</w:t>
      </w:r>
      <w:r w:rsidRPr="00F353A0">
        <w:t>int</w:t>
      </w:r>
      <w:r w:rsidRPr="00126BD2">
        <w:rPr>
          <w:lang w:val="hr-HR"/>
        </w:rPr>
        <w:t>/</w:t>
      </w:r>
      <w:r w:rsidRPr="00F353A0">
        <w:t>iris</w:t>
      </w:r>
      <w:r w:rsidRPr="00126BD2">
        <w:rPr>
          <w:lang w:val="hr-HR"/>
        </w:rPr>
        <w:t>/</w:t>
      </w:r>
      <w:r w:rsidRPr="00F353A0">
        <w:t>bitstream</w:t>
      </w:r>
      <w:r w:rsidRPr="00126BD2">
        <w:rPr>
          <w:lang w:val="hr-HR"/>
        </w:rPr>
        <w:t>/10665/93142/1/</w:t>
      </w:r>
      <w:r w:rsidRPr="00F353A0">
        <w:t>EML</w:t>
      </w:r>
      <w:r w:rsidRPr="00126BD2">
        <w:rPr>
          <w:lang w:val="hr-HR"/>
        </w:rPr>
        <w:t>_18_</w:t>
      </w:r>
      <w:r w:rsidRPr="00F353A0">
        <w:t>eng</w:t>
      </w:r>
      <w:r w:rsidRPr="00126BD2">
        <w:rPr>
          <w:lang w:val="hr-HR"/>
        </w:rPr>
        <w:t>.</w:t>
      </w:r>
      <w:r w:rsidRPr="00F353A0">
        <w:t>pdf</w:t>
      </w:r>
      <w:r w:rsidRPr="00126BD2">
        <w:rPr>
          <w:lang w:val="hr-HR"/>
        </w:rPr>
        <w:t>?</w:t>
      </w:r>
      <w:r w:rsidRPr="00F353A0">
        <w:t>ua</w:t>
      </w:r>
      <w:r w:rsidRPr="00126BD2">
        <w:rPr>
          <w:lang w:val="hr-HR"/>
        </w:rPr>
        <w:t>=1</w:t>
      </w:r>
    </w:p>
  </w:footnote>
  <w:footnote w:id="35">
    <w:p w:rsidR="00815C58" w:rsidRPr="002E0EBC" w:rsidRDefault="00815C58" w:rsidP="00307B47">
      <w:pPr>
        <w:pStyle w:val="FootnoteText"/>
        <w:rPr>
          <w:lang w:val="hr-HR"/>
        </w:rPr>
      </w:pPr>
      <w:r>
        <w:rPr>
          <w:rStyle w:val="FootnoteReference"/>
        </w:rPr>
        <w:footnoteRef/>
      </w:r>
      <w:r>
        <w:rPr>
          <w:lang w:val="hr-HR"/>
        </w:rPr>
        <w:t xml:space="preserve">CreativCeutical, FinalReport for the EC, </w:t>
      </w:r>
      <w:r w:rsidRPr="00C853E9">
        <w:rPr>
          <w:lang w:val="hr-HR"/>
        </w:rPr>
        <w:t>External reference pricingofmedicinalproducts: simulation-basedconsiderations for cross-countrycoordination. Ref: 12-EU02REF. Date: 20/DEC/2013</w:t>
      </w:r>
    </w:p>
  </w:footnote>
  <w:footnote w:id="36">
    <w:p w:rsidR="00815C58" w:rsidRPr="00033A8C" w:rsidRDefault="00815C58">
      <w:pPr>
        <w:pStyle w:val="FootnoteText"/>
        <w:rPr>
          <w:lang w:val="hr-HR"/>
        </w:rPr>
      </w:pPr>
      <w:r>
        <w:rPr>
          <w:rStyle w:val="FootnoteReference"/>
        </w:rPr>
        <w:footnoteRef/>
      </w:r>
      <w:r w:rsidRPr="0074017C">
        <w:rPr>
          <w:lang w:val="de-DE"/>
        </w:rPr>
        <w:t>http</w:t>
      </w:r>
      <w:r w:rsidRPr="00033A8C">
        <w:rPr>
          <w:lang w:val="hr-HR"/>
        </w:rPr>
        <w:t>://</w:t>
      </w:r>
      <w:r w:rsidRPr="0074017C">
        <w:rPr>
          <w:lang w:val="de-DE"/>
        </w:rPr>
        <w:t>whocc</w:t>
      </w:r>
      <w:r w:rsidRPr="00033A8C">
        <w:rPr>
          <w:lang w:val="hr-HR"/>
        </w:rPr>
        <w:t>.</w:t>
      </w:r>
      <w:r w:rsidRPr="0074017C">
        <w:rPr>
          <w:lang w:val="de-DE"/>
        </w:rPr>
        <w:t>goeg</w:t>
      </w:r>
      <w:r w:rsidRPr="00033A8C">
        <w:rPr>
          <w:lang w:val="hr-HR"/>
        </w:rPr>
        <w:t>.</w:t>
      </w:r>
      <w:r w:rsidRPr="0074017C">
        <w:rPr>
          <w:lang w:val="de-DE"/>
        </w:rPr>
        <w:t>at</w:t>
      </w:r>
      <w:r w:rsidRPr="00033A8C">
        <w:rPr>
          <w:lang w:val="hr-HR"/>
        </w:rPr>
        <w:t>/</w:t>
      </w:r>
      <w:r w:rsidRPr="0074017C">
        <w:rPr>
          <w:lang w:val="de-DE"/>
        </w:rPr>
        <w:t>Glossary</w:t>
      </w:r>
      <w:r w:rsidRPr="00033A8C">
        <w:rPr>
          <w:lang w:val="hr-HR"/>
        </w:rPr>
        <w:t>/</w:t>
      </w:r>
      <w:r w:rsidRPr="0074017C">
        <w:rPr>
          <w:lang w:val="de-DE"/>
        </w:rPr>
        <w:t>PreferredTerms</w:t>
      </w:r>
      <w:r w:rsidRPr="00033A8C">
        <w:rPr>
          <w:lang w:val="hr-HR"/>
        </w:rPr>
        <w:t>/</w:t>
      </w:r>
      <w:r w:rsidRPr="0074017C">
        <w:rPr>
          <w:lang w:val="de-DE"/>
        </w:rPr>
        <w:t>pharmacovigilance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58" w:rsidRDefault="00815C58" w:rsidP="002E02B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D29"/>
    <w:multiLevelType w:val="hybridMultilevel"/>
    <w:tmpl w:val="6E647220"/>
    <w:lvl w:ilvl="0" w:tplc="83A0009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523B3"/>
    <w:multiLevelType w:val="hybridMultilevel"/>
    <w:tmpl w:val="23D06894"/>
    <w:lvl w:ilvl="0" w:tplc="3484F8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22C22"/>
    <w:multiLevelType w:val="hybridMultilevel"/>
    <w:tmpl w:val="55F6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776D5"/>
    <w:multiLevelType w:val="hybridMultilevel"/>
    <w:tmpl w:val="65CEF4D8"/>
    <w:lvl w:ilvl="0" w:tplc="91B8AF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6621C"/>
    <w:multiLevelType w:val="hybridMultilevel"/>
    <w:tmpl w:val="2034F4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E6A7D"/>
    <w:multiLevelType w:val="hybridMultilevel"/>
    <w:tmpl w:val="B866D4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4E7CEA"/>
    <w:multiLevelType w:val="multilevel"/>
    <w:tmpl w:val="D8FE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57979"/>
    <w:multiLevelType w:val="hybridMultilevel"/>
    <w:tmpl w:val="AE02FA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451131"/>
    <w:multiLevelType w:val="hybridMultilevel"/>
    <w:tmpl w:val="DB143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B52D2A"/>
    <w:multiLevelType w:val="hybridMultilevel"/>
    <w:tmpl w:val="EEFCB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B5CD5"/>
    <w:multiLevelType w:val="hybridMultilevel"/>
    <w:tmpl w:val="836AF556"/>
    <w:lvl w:ilvl="0" w:tplc="FD568B9C">
      <w:start w:val="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8684C91"/>
    <w:multiLevelType w:val="hybridMultilevel"/>
    <w:tmpl w:val="572E1534"/>
    <w:lvl w:ilvl="0" w:tplc="FC84F3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2496D"/>
    <w:multiLevelType w:val="hybridMultilevel"/>
    <w:tmpl w:val="5CF46702"/>
    <w:lvl w:ilvl="0" w:tplc="FD568B9C">
      <w:start w:val="1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DCB7345"/>
    <w:multiLevelType w:val="hybridMultilevel"/>
    <w:tmpl w:val="DB143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E801A2"/>
    <w:multiLevelType w:val="hybridMultilevel"/>
    <w:tmpl w:val="E3F6E3FE"/>
    <w:lvl w:ilvl="0" w:tplc="38B6F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76628"/>
    <w:multiLevelType w:val="hybridMultilevel"/>
    <w:tmpl w:val="E0885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5140B6"/>
    <w:multiLevelType w:val="hybridMultilevel"/>
    <w:tmpl w:val="8216F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B6117"/>
    <w:multiLevelType w:val="hybridMultilevel"/>
    <w:tmpl w:val="134471F6"/>
    <w:lvl w:ilvl="0" w:tplc="6130E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140A2"/>
    <w:multiLevelType w:val="multilevel"/>
    <w:tmpl w:val="78E6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B240C"/>
    <w:multiLevelType w:val="hybridMultilevel"/>
    <w:tmpl w:val="40F42B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8D13C4"/>
    <w:multiLevelType w:val="hybridMultilevel"/>
    <w:tmpl w:val="3E36F860"/>
    <w:lvl w:ilvl="0" w:tplc="67766F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B2B9B"/>
    <w:multiLevelType w:val="multilevel"/>
    <w:tmpl w:val="38E29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17B98"/>
    <w:multiLevelType w:val="hybridMultilevel"/>
    <w:tmpl w:val="031E04FA"/>
    <w:lvl w:ilvl="0" w:tplc="44AE2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90140"/>
    <w:multiLevelType w:val="hybridMultilevel"/>
    <w:tmpl w:val="DD326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F1460B"/>
    <w:multiLevelType w:val="hybridMultilevel"/>
    <w:tmpl w:val="E850CAD4"/>
    <w:lvl w:ilvl="0" w:tplc="08C02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F3A14"/>
    <w:multiLevelType w:val="hybridMultilevel"/>
    <w:tmpl w:val="46FA3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C187A86"/>
    <w:multiLevelType w:val="hybridMultilevel"/>
    <w:tmpl w:val="CD7CB8D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E82248E"/>
    <w:multiLevelType w:val="hybridMultilevel"/>
    <w:tmpl w:val="F4620DE6"/>
    <w:lvl w:ilvl="0" w:tplc="3760D01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B57EFD"/>
    <w:multiLevelType w:val="hybridMultilevel"/>
    <w:tmpl w:val="23BEA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AD049C"/>
    <w:multiLevelType w:val="multilevel"/>
    <w:tmpl w:val="0EA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2781C"/>
    <w:multiLevelType w:val="multilevel"/>
    <w:tmpl w:val="EE8C2956"/>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038B8"/>
    <w:multiLevelType w:val="hybridMultilevel"/>
    <w:tmpl w:val="ADC84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104C1"/>
    <w:multiLevelType w:val="hybridMultilevel"/>
    <w:tmpl w:val="E0885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81A0D41"/>
    <w:multiLevelType w:val="hybridMultilevel"/>
    <w:tmpl w:val="52F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A3200"/>
    <w:multiLevelType w:val="hybridMultilevel"/>
    <w:tmpl w:val="8216F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528D2"/>
    <w:multiLevelType w:val="hybridMultilevel"/>
    <w:tmpl w:val="413E5D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2710DF"/>
    <w:multiLevelType w:val="hybridMultilevel"/>
    <w:tmpl w:val="8216F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50A6F"/>
    <w:multiLevelType w:val="multilevel"/>
    <w:tmpl w:val="488A5F5A"/>
    <w:lvl w:ilvl="0">
      <w:start w:val="1"/>
      <w:numFmt w:val="decimal"/>
      <w:lvlText w:val="%1"/>
      <w:lvlJc w:val="left"/>
      <w:pPr>
        <w:tabs>
          <w:tab w:val="num" w:pos="360"/>
        </w:tabs>
        <w:ind w:left="360" w:hanging="360"/>
      </w:pPr>
      <w:rPr>
        <w:rFonts w:asciiTheme="minorHAnsi" w:eastAsiaTheme="minorHAnsi" w:hAnsiTheme="minorHAnsi" w:cstheme="minorBid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9FE6219"/>
    <w:multiLevelType w:val="hybridMultilevel"/>
    <w:tmpl w:val="2C8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30F20"/>
    <w:multiLevelType w:val="hybridMultilevel"/>
    <w:tmpl w:val="FA1EF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3"/>
  </w:num>
  <w:num w:numId="3">
    <w:abstractNumId w:val="2"/>
  </w:num>
  <w:num w:numId="4">
    <w:abstractNumId w:val="14"/>
  </w:num>
  <w:num w:numId="5">
    <w:abstractNumId w:val="24"/>
  </w:num>
  <w:num w:numId="6">
    <w:abstractNumId w:val="9"/>
  </w:num>
  <w:num w:numId="7">
    <w:abstractNumId w:val="31"/>
  </w:num>
  <w:num w:numId="8">
    <w:abstractNumId w:val="39"/>
  </w:num>
  <w:num w:numId="9">
    <w:abstractNumId w:val="10"/>
  </w:num>
  <w:num w:numId="10">
    <w:abstractNumId w:val="17"/>
  </w:num>
  <w:num w:numId="11">
    <w:abstractNumId w:val="22"/>
  </w:num>
  <w:num w:numId="12">
    <w:abstractNumId w:val="36"/>
  </w:num>
  <w:num w:numId="13">
    <w:abstractNumId w:val="16"/>
  </w:num>
  <w:num w:numId="14">
    <w:abstractNumId w:val="32"/>
  </w:num>
  <w:num w:numId="15">
    <w:abstractNumId w:val="25"/>
  </w:num>
  <w:num w:numId="16">
    <w:abstractNumId w:val="5"/>
  </w:num>
  <w:num w:numId="17">
    <w:abstractNumId w:val="26"/>
  </w:num>
  <w:num w:numId="18">
    <w:abstractNumId w:val="12"/>
  </w:num>
  <w:num w:numId="19">
    <w:abstractNumId w:val="6"/>
  </w:num>
  <w:num w:numId="20">
    <w:abstractNumId w:val="8"/>
  </w:num>
  <w:num w:numId="21">
    <w:abstractNumId w:val="13"/>
  </w:num>
  <w:num w:numId="22">
    <w:abstractNumId w:val="15"/>
  </w:num>
  <w:num w:numId="23">
    <w:abstractNumId w:val="35"/>
  </w:num>
  <w:num w:numId="24">
    <w:abstractNumId w:val="30"/>
  </w:num>
  <w:num w:numId="25">
    <w:abstractNumId w:val="37"/>
  </w:num>
  <w:num w:numId="26">
    <w:abstractNumId w:val="20"/>
  </w:num>
  <w:num w:numId="27">
    <w:abstractNumId w:val="11"/>
  </w:num>
  <w:num w:numId="28">
    <w:abstractNumId w:val="3"/>
  </w:num>
  <w:num w:numId="29">
    <w:abstractNumId w:val="0"/>
  </w:num>
  <w:num w:numId="30">
    <w:abstractNumId w:val="1"/>
  </w:num>
  <w:num w:numId="31">
    <w:abstractNumId w:val="18"/>
  </w:num>
  <w:num w:numId="32">
    <w:abstractNumId w:val="29"/>
  </w:num>
  <w:num w:numId="33">
    <w:abstractNumId w:val="27"/>
  </w:num>
  <w:num w:numId="34">
    <w:abstractNumId w:val="21"/>
  </w:num>
  <w:num w:numId="35">
    <w:abstractNumId w:val="23"/>
  </w:num>
  <w:num w:numId="36">
    <w:abstractNumId w:val="7"/>
  </w:num>
  <w:num w:numId="37">
    <w:abstractNumId w:val="4"/>
  </w:num>
  <w:num w:numId="38">
    <w:abstractNumId w:val="19"/>
  </w:num>
  <w:num w:numId="39">
    <w:abstractNumId w:val="2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20"/>
  <w:hyphenationZone w:val="425"/>
  <w:characterSpacingControl w:val="doNotCompress"/>
  <w:footnotePr>
    <w:footnote w:id="0"/>
    <w:footnote w:id="1"/>
  </w:footnotePr>
  <w:endnotePr>
    <w:endnote w:id="0"/>
    <w:endnote w:id="1"/>
  </w:endnotePr>
  <w:compat/>
  <w:rsids>
    <w:rsidRoot w:val="002E3225"/>
    <w:rsid w:val="000105B3"/>
    <w:rsid w:val="000169C4"/>
    <w:rsid w:val="00025619"/>
    <w:rsid w:val="000260D3"/>
    <w:rsid w:val="000304E6"/>
    <w:rsid w:val="0003184F"/>
    <w:rsid w:val="00033A8C"/>
    <w:rsid w:val="00034244"/>
    <w:rsid w:val="00043196"/>
    <w:rsid w:val="00046216"/>
    <w:rsid w:val="00050E47"/>
    <w:rsid w:val="00055CEE"/>
    <w:rsid w:val="00080CA2"/>
    <w:rsid w:val="00082346"/>
    <w:rsid w:val="00085FE6"/>
    <w:rsid w:val="00086FD9"/>
    <w:rsid w:val="000932B8"/>
    <w:rsid w:val="000A29D5"/>
    <w:rsid w:val="000A3BB1"/>
    <w:rsid w:val="000B28E0"/>
    <w:rsid w:val="000B5086"/>
    <w:rsid w:val="000C1BF8"/>
    <w:rsid w:val="000C4BC8"/>
    <w:rsid w:val="000C535A"/>
    <w:rsid w:val="000D0A14"/>
    <w:rsid w:val="000E007A"/>
    <w:rsid w:val="000E2BDD"/>
    <w:rsid w:val="000E694C"/>
    <w:rsid w:val="00101EDA"/>
    <w:rsid w:val="00107F4E"/>
    <w:rsid w:val="001100B7"/>
    <w:rsid w:val="0011526F"/>
    <w:rsid w:val="00126BD2"/>
    <w:rsid w:val="001304F5"/>
    <w:rsid w:val="001417E1"/>
    <w:rsid w:val="001439F4"/>
    <w:rsid w:val="001543EE"/>
    <w:rsid w:val="0015706B"/>
    <w:rsid w:val="00157E15"/>
    <w:rsid w:val="00160E10"/>
    <w:rsid w:val="00163F89"/>
    <w:rsid w:val="00167BF6"/>
    <w:rsid w:val="001755BF"/>
    <w:rsid w:val="00175BB4"/>
    <w:rsid w:val="001814E6"/>
    <w:rsid w:val="001847E5"/>
    <w:rsid w:val="00192397"/>
    <w:rsid w:val="00193A5E"/>
    <w:rsid w:val="001A5DF7"/>
    <w:rsid w:val="001B2097"/>
    <w:rsid w:val="001B36A3"/>
    <w:rsid w:val="001B5D5B"/>
    <w:rsid w:val="001C2714"/>
    <w:rsid w:val="001C27B1"/>
    <w:rsid w:val="001C5BB8"/>
    <w:rsid w:val="001D6FB1"/>
    <w:rsid w:val="001F28E1"/>
    <w:rsid w:val="001F33C6"/>
    <w:rsid w:val="001F7AF2"/>
    <w:rsid w:val="00200B71"/>
    <w:rsid w:val="0020121F"/>
    <w:rsid w:val="00206246"/>
    <w:rsid w:val="002138B5"/>
    <w:rsid w:val="00220123"/>
    <w:rsid w:val="00223333"/>
    <w:rsid w:val="00225AA1"/>
    <w:rsid w:val="00227212"/>
    <w:rsid w:val="00227B2F"/>
    <w:rsid w:val="0023004F"/>
    <w:rsid w:val="00242616"/>
    <w:rsid w:val="00242CD3"/>
    <w:rsid w:val="00244F70"/>
    <w:rsid w:val="0025100D"/>
    <w:rsid w:val="002546EB"/>
    <w:rsid w:val="00255126"/>
    <w:rsid w:val="00255CF7"/>
    <w:rsid w:val="0025617C"/>
    <w:rsid w:val="002562E3"/>
    <w:rsid w:val="00267F7A"/>
    <w:rsid w:val="00271873"/>
    <w:rsid w:val="00282F52"/>
    <w:rsid w:val="00286AC2"/>
    <w:rsid w:val="00286C86"/>
    <w:rsid w:val="00295B1E"/>
    <w:rsid w:val="002B70F5"/>
    <w:rsid w:val="002B7C8A"/>
    <w:rsid w:val="002C19B8"/>
    <w:rsid w:val="002C56FB"/>
    <w:rsid w:val="002E02BB"/>
    <w:rsid w:val="002E0EBC"/>
    <w:rsid w:val="002E3225"/>
    <w:rsid w:val="002F6F25"/>
    <w:rsid w:val="0030026A"/>
    <w:rsid w:val="003003B8"/>
    <w:rsid w:val="00304A51"/>
    <w:rsid w:val="00305323"/>
    <w:rsid w:val="00305B65"/>
    <w:rsid w:val="00305FF7"/>
    <w:rsid w:val="00307069"/>
    <w:rsid w:val="00307B47"/>
    <w:rsid w:val="00310158"/>
    <w:rsid w:val="00312964"/>
    <w:rsid w:val="00312CCE"/>
    <w:rsid w:val="00313563"/>
    <w:rsid w:val="00314E48"/>
    <w:rsid w:val="0032043C"/>
    <w:rsid w:val="00323085"/>
    <w:rsid w:val="00330A37"/>
    <w:rsid w:val="0033428E"/>
    <w:rsid w:val="00336B99"/>
    <w:rsid w:val="003374B7"/>
    <w:rsid w:val="00341CDD"/>
    <w:rsid w:val="003435A3"/>
    <w:rsid w:val="003526BC"/>
    <w:rsid w:val="0036070E"/>
    <w:rsid w:val="00361191"/>
    <w:rsid w:val="003622CE"/>
    <w:rsid w:val="00362942"/>
    <w:rsid w:val="003631B6"/>
    <w:rsid w:val="00365D3F"/>
    <w:rsid w:val="0037054D"/>
    <w:rsid w:val="00380002"/>
    <w:rsid w:val="0038059F"/>
    <w:rsid w:val="0038109B"/>
    <w:rsid w:val="0038385C"/>
    <w:rsid w:val="00392FB6"/>
    <w:rsid w:val="003936D3"/>
    <w:rsid w:val="00394353"/>
    <w:rsid w:val="00396289"/>
    <w:rsid w:val="003A0112"/>
    <w:rsid w:val="003A313D"/>
    <w:rsid w:val="003B17DE"/>
    <w:rsid w:val="003B4111"/>
    <w:rsid w:val="003B587D"/>
    <w:rsid w:val="003C12F7"/>
    <w:rsid w:val="003C5B5C"/>
    <w:rsid w:val="003D2C14"/>
    <w:rsid w:val="003D61CD"/>
    <w:rsid w:val="00404571"/>
    <w:rsid w:val="0040465B"/>
    <w:rsid w:val="0040538F"/>
    <w:rsid w:val="00420C0C"/>
    <w:rsid w:val="00434F06"/>
    <w:rsid w:val="00441E02"/>
    <w:rsid w:val="00446F0D"/>
    <w:rsid w:val="00447A03"/>
    <w:rsid w:val="00455C43"/>
    <w:rsid w:val="00455EF3"/>
    <w:rsid w:val="00472268"/>
    <w:rsid w:val="004732BC"/>
    <w:rsid w:val="0047512D"/>
    <w:rsid w:val="004818EA"/>
    <w:rsid w:val="00483838"/>
    <w:rsid w:val="00490013"/>
    <w:rsid w:val="00490F4E"/>
    <w:rsid w:val="00494632"/>
    <w:rsid w:val="004A01E4"/>
    <w:rsid w:val="004A7707"/>
    <w:rsid w:val="004B19B8"/>
    <w:rsid w:val="004B2CFB"/>
    <w:rsid w:val="004C1436"/>
    <w:rsid w:val="004D0CA6"/>
    <w:rsid w:val="004D1044"/>
    <w:rsid w:val="004D3A93"/>
    <w:rsid w:val="004D5639"/>
    <w:rsid w:val="004D6941"/>
    <w:rsid w:val="004D7174"/>
    <w:rsid w:val="004E5E01"/>
    <w:rsid w:val="004E7449"/>
    <w:rsid w:val="004F4BE0"/>
    <w:rsid w:val="004F5372"/>
    <w:rsid w:val="005013E8"/>
    <w:rsid w:val="00515C10"/>
    <w:rsid w:val="0051704F"/>
    <w:rsid w:val="00522F59"/>
    <w:rsid w:val="0052472B"/>
    <w:rsid w:val="00524ACE"/>
    <w:rsid w:val="005277E2"/>
    <w:rsid w:val="00533976"/>
    <w:rsid w:val="005367FD"/>
    <w:rsid w:val="00542B53"/>
    <w:rsid w:val="005460D2"/>
    <w:rsid w:val="00546B68"/>
    <w:rsid w:val="005560FF"/>
    <w:rsid w:val="00564666"/>
    <w:rsid w:val="00584A10"/>
    <w:rsid w:val="00584B44"/>
    <w:rsid w:val="005916B9"/>
    <w:rsid w:val="005B2F3A"/>
    <w:rsid w:val="005C01DB"/>
    <w:rsid w:val="005C10D4"/>
    <w:rsid w:val="005C539B"/>
    <w:rsid w:val="005D3A7C"/>
    <w:rsid w:val="005D6419"/>
    <w:rsid w:val="005E0AE4"/>
    <w:rsid w:val="005E127A"/>
    <w:rsid w:val="005E1E72"/>
    <w:rsid w:val="005E3CD1"/>
    <w:rsid w:val="005F41C1"/>
    <w:rsid w:val="005F4BAB"/>
    <w:rsid w:val="005F733A"/>
    <w:rsid w:val="00601C0F"/>
    <w:rsid w:val="0060319C"/>
    <w:rsid w:val="00603288"/>
    <w:rsid w:val="00604734"/>
    <w:rsid w:val="0060638F"/>
    <w:rsid w:val="00610AAB"/>
    <w:rsid w:val="00616B47"/>
    <w:rsid w:val="00621B72"/>
    <w:rsid w:val="006233D7"/>
    <w:rsid w:val="00626377"/>
    <w:rsid w:val="00631BBC"/>
    <w:rsid w:val="006335EE"/>
    <w:rsid w:val="00640879"/>
    <w:rsid w:val="00641A27"/>
    <w:rsid w:val="00643FE2"/>
    <w:rsid w:val="0065470D"/>
    <w:rsid w:val="006561B6"/>
    <w:rsid w:val="006606EF"/>
    <w:rsid w:val="0066350A"/>
    <w:rsid w:val="006654ED"/>
    <w:rsid w:val="00666ADC"/>
    <w:rsid w:val="00670B21"/>
    <w:rsid w:val="00675466"/>
    <w:rsid w:val="00677675"/>
    <w:rsid w:val="0069100B"/>
    <w:rsid w:val="006974B7"/>
    <w:rsid w:val="006A016B"/>
    <w:rsid w:val="006A3136"/>
    <w:rsid w:val="006A52A6"/>
    <w:rsid w:val="006B1858"/>
    <w:rsid w:val="006B2380"/>
    <w:rsid w:val="006B6E8C"/>
    <w:rsid w:val="006C3903"/>
    <w:rsid w:val="006C7865"/>
    <w:rsid w:val="006D1F23"/>
    <w:rsid w:val="006E6ADC"/>
    <w:rsid w:val="006F538C"/>
    <w:rsid w:val="006F6863"/>
    <w:rsid w:val="00705229"/>
    <w:rsid w:val="00705AFA"/>
    <w:rsid w:val="00713C59"/>
    <w:rsid w:val="007177EE"/>
    <w:rsid w:val="007212B5"/>
    <w:rsid w:val="00724365"/>
    <w:rsid w:val="00726884"/>
    <w:rsid w:val="00727742"/>
    <w:rsid w:val="0073113C"/>
    <w:rsid w:val="007316F3"/>
    <w:rsid w:val="00731DF1"/>
    <w:rsid w:val="00732CCE"/>
    <w:rsid w:val="007331C1"/>
    <w:rsid w:val="007379D7"/>
    <w:rsid w:val="0074017C"/>
    <w:rsid w:val="007423A5"/>
    <w:rsid w:val="0075041A"/>
    <w:rsid w:val="00752D34"/>
    <w:rsid w:val="00756D35"/>
    <w:rsid w:val="00763CBA"/>
    <w:rsid w:val="00764DFE"/>
    <w:rsid w:val="00766160"/>
    <w:rsid w:val="00767B00"/>
    <w:rsid w:val="00770797"/>
    <w:rsid w:val="00774836"/>
    <w:rsid w:val="00783603"/>
    <w:rsid w:val="00790CBD"/>
    <w:rsid w:val="007970BF"/>
    <w:rsid w:val="00797857"/>
    <w:rsid w:val="007A2D4A"/>
    <w:rsid w:val="007A7A6D"/>
    <w:rsid w:val="007B7C49"/>
    <w:rsid w:val="007C72F4"/>
    <w:rsid w:val="007D56F2"/>
    <w:rsid w:val="007D756A"/>
    <w:rsid w:val="007E1FE5"/>
    <w:rsid w:val="007E4C1D"/>
    <w:rsid w:val="007E5F91"/>
    <w:rsid w:val="007F13F9"/>
    <w:rsid w:val="007F4602"/>
    <w:rsid w:val="00800E79"/>
    <w:rsid w:val="00807D18"/>
    <w:rsid w:val="00815C58"/>
    <w:rsid w:val="00821573"/>
    <w:rsid w:val="0082339C"/>
    <w:rsid w:val="00825F11"/>
    <w:rsid w:val="00830470"/>
    <w:rsid w:val="008310DB"/>
    <w:rsid w:val="008346CD"/>
    <w:rsid w:val="00843740"/>
    <w:rsid w:val="00845C4A"/>
    <w:rsid w:val="00852D75"/>
    <w:rsid w:val="00853A49"/>
    <w:rsid w:val="00862D7B"/>
    <w:rsid w:val="00863F37"/>
    <w:rsid w:val="00865E3B"/>
    <w:rsid w:val="00866A29"/>
    <w:rsid w:val="00871E8F"/>
    <w:rsid w:val="00875271"/>
    <w:rsid w:val="00880221"/>
    <w:rsid w:val="00881388"/>
    <w:rsid w:val="008B6165"/>
    <w:rsid w:val="008B63C0"/>
    <w:rsid w:val="008C3A73"/>
    <w:rsid w:val="008C7C9C"/>
    <w:rsid w:val="008D279A"/>
    <w:rsid w:val="008E0865"/>
    <w:rsid w:val="008E77FD"/>
    <w:rsid w:val="008F19C3"/>
    <w:rsid w:val="008F3EAF"/>
    <w:rsid w:val="008F4BC8"/>
    <w:rsid w:val="0090256F"/>
    <w:rsid w:val="00902770"/>
    <w:rsid w:val="009028B6"/>
    <w:rsid w:val="00904EB6"/>
    <w:rsid w:val="009077FD"/>
    <w:rsid w:val="0091777B"/>
    <w:rsid w:val="00920BDA"/>
    <w:rsid w:val="009221E0"/>
    <w:rsid w:val="0092341A"/>
    <w:rsid w:val="00925F63"/>
    <w:rsid w:val="00927D90"/>
    <w:rsid w:val="00930099"/>
    <w:rsid w:val="0093343D"/>
    <w:rsid w:val="009367D1"/>
    <w:rsid w:val="00941686"/>
    <w:rsid w:val="00942986"/>
    <w:rsid w:val="00943F96"/>
    <w:rsid w:val="00957975"/>
    <w:rsid w:val="00960DA3"/>
    <w:rsid w:val="00964A6D"/>
    <w:rsid w:val="00966A84"/>
    <w:rsid w:val="00970AA9"/>
    <w:rsid w:val="0097165D"/>
    <w:rsid w:val="009737F5"/>
    <w:rsid w:val="0098493A"/>
    <w:rsid w:val="00985B2D"/>
    <w:rsid w:val="00987F02"/>
    <w:rsid w:val="00990360"/>
    <w:rsid w:val="0099049D"/>
    <w:rsid w:val="009925AA"/>
    <w:rsid w:val="0099560F"/>
    <w:rsid w:val="00997071"/>
    <w:rsid w:val="009A1531"/>
    <w:rsid w:val="009A2E8D"/>
    <w:rsid w:val="009A2F68"/>
    <w:rsid w:val="009B4ED9"/>
    <w:rsid w:val="009B5A4C"/>
    <w:rsid w:val="009C49F7"/>
    <w:rsid w:val="009C6BAD"/>
    <w:rsid w:val="009C6CA6"/>
    <w:rsid w:val="009C6D5F"/>
    <w:rsid w:val="009E79B3"/>
    <w:rsid w:val="009E7A72"/>
    <w:rsid w:val="009F65E7"/>
    <w:rsid w:val="00A20A1F"/>
    <w:rsid w:val="00A21465"/>
    <w:rsid w:val="00A22BE7"/>
    <w:rsid w:val="00A444CF"/>
    <w:rsid w:val="00A47735"/>
    <w:rsid w:val="00A505B9"/>
    <w:rsid w:val="00A52B20"/>
    <w:rsid w:val="00A557BA"/>
    <w:rsid w:val="00A5629B"/>
    <w:rsid w:val="00A63208"/>
    <w:rsid w:val="00A63B04"/>
    <w:rsid w:val="00A64463"/>
    <w:rsid w:val="00A656CE"/>
    <w:rsid w:val="00A71184"/>
    <w:rsid w:val="00A7350E"/>
    <w:rsid w:val="00A86CF0"/>
    <w:rsid w:val="00A93829"/>
    <w:rsid w:val="00A9384B"/>
    <w:rsid w:val="00A93F0C"/>
    <w:rsid w:val="00A95616"/>
    <w:rsid w:val="00AA1C12"/>
    <w:rsid w:val="00AA7930"/>
    <w:rsid w:val="00AB01A4"/>
    <w:rsid w:val="00AB2311"/>
    <w:rsid w:val="00AB2565"/>
    <w:rsid w:val="00AB2ECE"/>
    <w:rsid w:val="00AB62A7"/>
    <w:rsid w:val="00AC1084"/>
    <w:rsid w:val="00AC5115"/>
    <w:rsid w:val="00AC5F8D"/>
    <w:rsid w:val="00AD0F10"/>
    <w:rsid w:val="00AD18D3"/>
    <w:rsid w:val="00AD242C"/>
    <w:rsid w:val="00AD4254"/>
    <w:rsid w:val="00AE1E5A"/>
    <w:rsid w:val="00AE34E8"/>
    <w:rsid w:val="00AF08F0"/>
    <w:rsid w:val="00AF6D6E"/>
    <w:rsid w:val="00B00B2D"/>
    <w:rsid w:val="00B20FC8"/>
    <w:rsid w:val="00B21CFF"/>
    <w:rsid w:val="00B23FE5"/>
    <w:rsid w:val="00B30A5F"/>
    <w:rsid w:val="00B325B0"/>
    <w:rsid w:val="00B3297C"/>
    <w:rsid w:val="00B35709"/>
    <w:rsid w:val="00B36B78"/>
    <w:rsid w:val="00B40A36"/>
    <w:rsid w:val="00B41ABB"/>
    <w:rsid w:val="00B42771"/>
    <w:rsid w:val="00B43FDD"/>
    <w:rsid w:val="00B47317"/>
    <w:rsid w:val="00B53924"/>
    <w:rsid w:val="00B671C3"/>
    <w:rsid w:val="00B7059C"/>
    <w:rsid w:val="00B76E09"/>
    <w:rsid w:val="00B90BFE"/>
    <w:rsid w:val="00B95CD8"/>
    <w:rsid w:val="00B96C50"/>
    <w:rsid w:val="00BA0C9D"/>
    <w:rsid w:val="00BA5510"/>
    <w:rsid w:val="00BB5CFE"/>
    <w:rsid w:val="00BC021E"/>
    <w:rsid w:val="00BC02AE"/>
    <w:rsid w:val="00BC0DE5"/>
    <w:rsid w:val="00BC336B"/>
    <w:rsid w:val="00BC7058"/>
    <w:rsid w:val="00BD4A1D"/>
    <w:rsid w:val="00BD5E86"/>
    <w:rsid w:val="00BE510B"/>
    <w:rsid w:val="00BE7EF0"/>
    <w:rsid w:val="00BE7F06"/>
    <w:rsid w:val="00C00B81"/>
    <w:rsid w:val="00C03E35"/>
    <w:rsid w:val="00C0769F"/>
    <w:rsid w:val="00C07BD2"/>
    <w:rsid w:val="00C11144"/>
    <w:rsid w:val="00C13CEF"/>
    <w:rsid w:val="00C15648"/>
    <w:rsid w:val="00C25CFA"/>
    <w:rsid w:val="00C30431"/>
    <w:rsid w:val="00C3066E"/>
    <w:rsid w:val="00C30CC9"/>
    <w:rsid w:val="00C37783"/>
    <w:rsid w:val="00C55B1C"/>
    <w:rsid w:val="00C5679A"/>
    <w:rsid w:val="00C60E91"/>
    <w:rsid w:val="00C61024"/>
    <w:rsid w:val="00C62E0D"/>
    <w:rsid w:val="00C7049E"/>
    <w:rsid w:val="00C712D6"/>
    <w:rsid w:val="00C80E2F"/>
    <w:rsid w:val="00C83262"/>
    <w:rsid w:val="00C853E9"/>
    <w:rsid w:val="00C9064B"/>
    <w:rsid w:val="00C92626"/>
    <w:rsid w:val="00C942A9"/>
    <w:rsid w:val="00CA1228"/>
    <w:rsid w:val="00CA23E2"/>
    <w:rsid w:val="00CB42AF"/>
    <w:rsid w:val="00CB647B"/>
    <w:rsid w:val="00CC0206"/>
    <w:rsid w:val="00CC28A2"/>
    <w:rsid w:val="00CC5818"/>
    <w:rsid w:val="00CD0699"/>
    <w:rsid w:val="00CD32A9"/>
    <w:rsid w:val="00CD63A0"/>
    <w:rsid w:val="00CD67F4"/>
    <w:rsid w:val="00CE0191"/>
    <w:rsid w:val="00CF012B"/>
    <w:rsid w:val="00CF2270"/>
    <w:rsid w:val="00CF2D80"/>
    <w:rsid w:val="00D02C62"/>
    <w:rsid w:val="00D035BE"/>
    <w:rsid w:val="00D05835"/>
    <w:rsid w:val="00D0745B"/>
    <w:rsid w:val="00D076D5"/>
    <w:rsid w:val="00D12CE3"/>
    <w:rsid w:val="00D15FBD"/>
    <w:rsid w:val="00D178C2"/>
    <w:rsid w:val="00D211D9"/>
    <w:rsid w:val="00D25743"/>
    <w:rsid w:val="00D35B7A"/>
    <w:rsid w:val="00D53A49"/>
    <w:rsid w:val="00D54EAC"/>
    <w:rsid w:val="00D560CD"/>
    <w:rsid w:val="00D60B49"/>
    <w:rsid w:val="00D641CA"/>
    <w:rsid w:val="00D6466F"/>
    <w:rsid w:val="00D71CA6"/>
    <w:rsid w:val="00D7521E"/>
    <w:rsid w:val="00D77215"/>
    <w:rsid w:val="00D869E2"/>
    <w:rsid w:val="00D87100"/>
    <w:rsid w:val="00D93B44"/>
    <w:rsid w:val="00DA094E"/>
    <w:rsid w:val="00DA19E1"/>
    <w:rsid w:val="00DA30F1"/>
    <w:rsid w:val="00DA5E9A"/>
    <w:rsid w:val="00DA7328"/>
    <w:rsid w:val="00DB4596"/>
    <w:rsid w:val="00DC10CD"/>
    <w:rsid w:val="00DC2247"/>
    <w:rsid w:val="00DC224F"/>
    <w:rsid w:val="00DC5C2B"/>
    <w:rsid w:val="00DC6579"/>
    <w:rsid w:val="00DD004A"/>
    <w:rsid w:val="00DD0A9B"/>
    <w:rsid w:val="00DD7A6F"/>
    <w:rsid w:val="00DE1BB9"/>
    <w:rsid w:val="00DE6F17"/>
    <w:rsid w:val="00DF24C0"/>
    <w:rsid w:val="00DF58CE"/>
    <w:rsid w:val="00DF5DB6"/>
    <w:rsid w:val="00DF7B60"/>
    <w:rsid w:val="00E01EA8"/>
    <w:rsid w:val="00E054FE"/>
    <w:rsid w:val="00E05E9D"/>
    <w:rsid w:val="00E17254"/>
    <w:rsid w:val="00E24B80"/>
    <w:rsid w:val="00E2631B"/>
    <w:rsid w:val="00E264D9"/>
    <w:rsid w:val="00E3388D"/>
    <w:rsid w:val="00E4027D"/>
    <w:rsid w:val="00E42418"/>
    <w:rsid w:val="00E50F28"/>
    <w:rsid w:val="00E521CD"/>
    <w:rsid w:val="00E53E25"/>
    <w:rsid w:val="00E56C6D"/>
    <w:rsid w:val="00E60C86"/>
    <w:rsid w:val="00E61D9E"/>
    <w:rsid w:val="00E62E87"/>
    <w:rsid w:val="00E70D9F"/>
    <w:rsid w:val="00E7113E"/>
    <w:rsid w:val="00E747C3"/>
    <w:rsid w:val="00E76C17"/>
    <w:rsid w:val="00E77984"/>
    <w:rsid w:val="00E82ACE"/>
    <w:rsid w:val="00E86313"/>
    <w:rsid w:val="00E86EF7"/>
    <w:rsid w:val="00EC3E62"/>
    <w:rsid w:val="00EC48DD"/>
    <w:rsid w:val="00EC6E97"/>
    <w:rsid w:val="00ED0E8E"/>
    <w:rsid w:val="00ED1F10"/>
    <w:rsid w:val="00ED2880"/>
    <w:rsid w:val="00EE12C6"/>
    <w:rsid w:val="00EE36B2"/>
    <w:rsid w:val="00EF128A"/>
    <w:rsid w:val="00EF30EF"/>
    <w:rsid w:val="00EF6C54"/>
    <w:rsid w:val="00EF7043"/>
    <w:rsid w:val="00F002B4"/>
    <w:rsid w:val="00F03A96"/>
    <w:rsid w:val="00F079A7"/>
    <w:rsid w:val="00F207C3"/>
    <w:rsid w:val="00F20C05"/>
    <w:rsid w:val="00F2161D"/>
    <w:rsid w:val="00F21785"/>
    <w:rsid w:val="00F22DA0"/>
    <w:rsid w:val="00F260CF"/>
    <w:rsid w:val="00F27A0F"/>
    <w:rsid w:val="00F34653"/>
    <w:rsid w:val="00F353A0"/>
    <w:rsid w:val="00F35B06"/>
    <w:rsid w:val="00F3681C"/>
    <w:rsid w:val="00F5237D"/>
    <w:rsid w:val="00F554D6"/>
    <w:rsid w:val="00F57C35"/>
    <w:rsid w:val="00F61375"/>
    <w:rsid w:val="00F6228D"/>
    <w:rsid w:val="00F72401"/>
    <w:rsid w:val="00F74F0A"/>
    <w:rsid w:val="00F83594"/>
    <w:rsid w:val="00F90C89"/>
    <w:rsid w:val="00F9423A"/>
    <w:rsid w:val="00FB0313"/>
    <w:rsid w:val="00FB3FE1"/>
    <w:rsid w:val="00FC2689"/>
    <w:rsid w:val="00FC33E1"/>
    <w:rsid w:val="00FD06F3"/>
    <w:rsid w:val="00FD1524"/>
    <w:rsid w:val="00FD321C"/>
    <w:rsid w:val="00FE1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6E"/>
  </w:style>
  <w:style w:type="paragraph" w:styleId="Heading1">
    <w:name w:val="heading 1"/>
    <w:basedOn w:val="Normal"/>
    <w:next w:val="Normal"/>
    <w:link w:val="Heading1Char"/>
    <w:uiPriority w:val="9"/>
    <w:qFormat/>
    <w:rsid w:val="00631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1B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32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Bullets"/>
    <w:basedOn w:val="Normal"/>
    <w:link w:val="ListParagraphChar"/>
    <w:uiPriority w:val="34"/>
    <w:qFormat/>
    <w:rsid w:val="002E3225"/>
    <w:pPr>
      <w:ind w:left="720"/>
      <w:contextualSpacing/>
    </w:pPr>
  </w:style>
  <w:style w:type="table" w:styleId="TableGrid">
    <w:name w:val="Table Grid"/>
    <w:basedOn w:val="TableNormal"/>
    <w:uiPriority w:val="39"/>
    <w:rsid w:val="006A3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FA,FA Fu§notentext,RSC_WP (footnotes),Footnote Text Char1 Char1,Footnote Text Char Char Char,Footnote Text Char1 Char Char Char Char,Footnote Text Char Char Char Char Char Char,fn,ADB,single space,FOOTNOTES,Fu§notentext Char,ft,Foot,f"/>
    <w:basedOn w:val="Normal"/>
    <w:link w:val="FootnoteTextChar"/>
    <w:uiPriority w:val="99"/>
    <w:unhideWhenUsed/>
    <w:rsid w:val="006A3136"/>
    <w:pPr>
      <w:spacing w:after="0" w:line="240" w:lineRule="auto"/>
    </w:pPr>
    <w:rPr>
      <w:rFonts w:eastAsiaTheme="minorEastAsia"/>
      <w:sz w:val="20"/>
      <w:szCs w:val="20"/>
    </w:rPr>
  </w:style>
  <w:style w:type="character" w:customStyle="1" w:styleId="FootnoteTextChar">
    <w:name w:val="Footnote Text Char"/>
    <w:aliases w:val="Char Char,FA Char,FA Fu§notentext Char,RSC_WP (footnotes) Char,Footnote Text Char1 Char1 Char,Footnote Text Char Char Char Char,Footnote Text Char1 Char Char Char Char Char,Footnote Text Char Char Char Char Char Char Char,fn Char"/>
    <w:basedOn w:val="DefaultParagraphFont"/>
    <w:link w:val="FootnoteText"/>
    <w:uiPriority w:val="99"/>
    <w:rsid w:val="006A3136"/>
    <w:rPr>
      <w:rFonts w:eastAsiaTheme="minorEastAsia"/>
      <w:sz w:val="20"/>
      <w:szCs w:val="20"/>
    </w:rPr>
  </w:style>
  <w:style w:type="character" w:styleId="FootnoteReference">
    <w:name w:val="footnote reference"/>
    <w:aliases w:val="ftref,RSC_WP (footnote reference),Footnote Ref1,16 Point,Superscript 6 Point,BVI fnr,Times 10 Point, Exposant 3 Point,Footnote symbol,Footnote reference number,Exposant 3 Point,EN Footnote Reference,note TESI,Footnote Reference Number"/>
    <w:basedOn w:val="DefaultParagraphFont"/>
    <w:uiPriority w:val="99"/>
    <w:unhideWhenUsed/>
    <w:qFormat/>
    <w:rsid w:val="006A3136"/>
    <w:rPr>
      <w:vertAlign w:val="superscript"/>
    </w:rPr>
  </w:style>
  <w:style w:type="character" w:styleId="Hyperlink">
    <w:name w:val="Hyperlink"/>
    <w:basedOn w:val="DefaultParagraphFont"/>
    <w:uiPriority w:val="99"/>
    <w:unhideWhenUsed/>
    <w:rsid w:val="006A3136"/>
    <w:rPr>
      <w:color w:val="0000FF" w:themeColor="hyperlink"/>
      <w:u w:val="single"/>
    </w:rPr>
  </w:style>
  <w:style w:type="paragraph" w:styleId="Header">
    <w:name w:val="header"/>
    <w:basedOn w:val="Normal"/>
    <w:link w:val="HeaderChar"/>
    <w:uiPriority w:val="99"/>
    <w:unhideWhenUsed/>
    <w:rsid w:val="0039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353"/>
  </w:style>
  <w:style w:type="paragraph" w:styleId="Footer">
    <w:name w:val="footer"/>
    <w:basedOn w:val="Normal"/>
    <w:link w:val="FooterChar"/>
    <w:uiPriority w:val="99"/>
    <w:unhideWhenUsed/>
    <w:rsid w:val="0039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53"/>
  </w:style>
  <w:style w:type="character" w:styleId="CommentReference">
    <w:name w:val="annotation reference"/>
    <w:basedOn w:val="DefaultParagraphFont"/>
    <w:uiPriority w:val="99"/>
    <w:unhideWhenUsed/>
    <w:rsid w:val="00F22DA0"/>
    <w:rPr>
      <w:sz w:val="16"/>
      <w:szCs w:val="16"/>
    </w:rPr>
  </w:style>
  <w:style w:type="paragraph" w:styleId="CommentText">
    <w:name w:val="annotation text"/>
    <w:basedOn w:val="Normal"/>
    <w:link w:val="CommentTextChar"/>
    <w:uiPriority w:val="99"/>
    <w:unhideWhenUsed/>
    <w:rsid w:val="00F22DA0"/>
    <w:pPr>
      <w:spacing w:line="240" w:lineRule="auto"/>
    </w:pPr>
    <w:rPr>
      <w:sz w:val="20"/>
      <w:szCs w:val="20"/>
    </w:rPr>
  </w:style>
  <w:style w:type="character" w:customStyle="1" w:styleId="CommentTextChar">
    <w:name w:val="Comment Text Char"/>
    <w:basedOn w:val="DefaultParagraphFont"/>
    <w:link w:val="CommentText"/>
    <w:uiPriority w:val="99"/>
    <w:rsid w:val="00F22DA0"/>
    <w:rPr>
      <w:sz w:val="20"/>
      <w:szCs w:val="20"/>
    </w:rPr>
  </w:style>
  <w:style w:type="character" w:customStyle="1" w:styleId="ListParagraphChar">
    <w:name w:val="List Paragraph Char"/>
    <w:aliases w:val="Akapit z listą BS Char,List Paragraph 1 Char,Bullets Char"/>
    <w:basedOn w:val="DefaultParagraphFont"/>
    <w:link w:val="ListParagraph"/>
    <w:uiPriority w:val="34"/>
    <w:rsid w:val="00F22DA0"/>
  </w:style>
  <w:style w:type="paragraph" w:styleId="BalloonText">
    <w:name w:val="Balloon Text"/>
    <w:basedOn w:val="Normal"/>
    <w:link w:val="BalloonTextChar"/>
    <w:uiPriority w:val="99"/>
    <w:semiHidden/>
    <w:unhideWhenUsed/>
    <w:rsid w:val="00F2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A0"/>
    <w:rPr>
      <w:rFonts w:ascii="Tahoma" w:hAnsi="Tahoma" w:cs="Tahoma"/>
      <w:sz w:val="16"/>
      <w:szCs w:val="16"/>
    </w:rPr>
  </w:style>
  <w:style w:type="paragraph" w:styleId="EndnoteText">
    <w:name w:val="endnote text"/>
    <w:basedOn w:val="Normal"/>
    <w:link w:val="EndnoteTextChar"/>
    <w:uiPriority w:val="99"/>
    <w:semiHidden/>
    <w:unhideWhenUsed/>
    <w:rsid w:val="00FB0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313"/>
    <w:rPr>
      <w:sz w:val="20"/>
      <w:szCs w:val="20"/>
    </w:rPr>
  </w:style>
  <w:style w:type="character" w:styleId="EndnoteReference">
    <w:name w:val="endnote reference"/>
    <w:basedOn w:val="DefaultParagraphFont"/>
    <w:uiPriority w:val="99"/>
    <w:semiHidden/>
    <w:unhideWhenUsed/>
    <w:rsid w:val="00FB0313"/>
    <w:rPr>
      <w:vertAlign w:val="superscript"/>
    </w:rPr>
  </w:style>
  <w:style w:type="paragraph" w:styleId="Title">
    <w:name w:val="Title"/>
    <w:basedOn w:val="Normal"/>
    <w:next w:val="Normal"/>
    <w:link w:val="TitleChar"/>
    <w:uiPriority w:val="10"/>
    <w:qFormat/>
    <w:rsid w:val="00631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B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1B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BB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31B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B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1BB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732BC"/>
    <w:pPr>
      <w:outlineLvl w:val="9"/>
    </w:pPr>
  </w:style>
  <w:style w:type="paragraph" w:styleId="TOC1">
    <w:name w:val="toc 1"/>
    <w:basedOn w:val="Normal"/>
    <w:next w:val="Normal"/>
    <w:autoRedefine/>
    <w:uiPriority w:val="39"/>
    <w:unhideWhenUsed/>
    <w:rsid w:val="004732BC"/>
    <w:pPr>
      <w:spacing w:after="100"/>
    </w:pPr>
  </w:style>
  <w:style w:type="paragraph" w:styleId="TOC2">
    <w:name w:val="toc 2"/>
    <w:basedOn w:val="Normal"/>
    <w:next w:val="Normal"/>
    <w:autoRedefine/>
    <w:uiPriority w:val="39"/>
    <w:unhideWhenUsed/>
    <w:rsid w:val="004D7174"/>
    <w:pPr>
      <w:tabs>
        <w:tab w:val="right" w:leader="dot" w:pos="9350"/>
      </w:tabs>
      <w:spacing w:after="0" w:line="240" w:lineRule="auto"/>
      <w:ind w:left="216"/>
    </w:pPr>
  </w:style>
  <w:style w:type="paragraph" w:styleId="TOC3">
    <w:name w:val="toc 3"/>
    <w:basedOn w:val="Normal"/>
    <w:next w:val="Normal"/>
    <w:autoRedefine/>
    <w:uiPriority w:val="39"/>
    <w:unhideWhenUsed/>
    <w:rsid w:val="004732BC"/>
    <w:pPr>
      <w:spacing w:after="100"/>
      <w:ind w:left="440"/>
    </w:pPr>
  </w:style>
  <w:style w:type="character" w:customStyle="1" w:styleId="Heading4Char">
    <w:name w:val="Heading 4 Char"/>
    <w:basedOn w:val="DefaultParagraphFont"/>
    <w:link w:val="Heading4"/>
    <w:uiPriority w:val="9"/>
    <w:rsid w:val="004732B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43EE"/>
    <w:rPr>
      <w:rFonts w:ascii="Times New Roman" w:hAnsi="Times New Roman" w:cs="Times New Roman"/>
      <w:sz w:val="24"/>
      <w:szCs w:val="24"/>
    </w:rPr>
  </w:style>
  <w:style w:type="paragraph" w:customStyle="1" w:styleId="Default">
    <w:name w:val="Default"/>
    <w:rsid w:val="00295B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6E"/>
  </w:style>
  <w:style w:type="paragraph" w:styleId="Heading1">
    <w:name w:val="heading 1"/>
    <w:basedOn w:val="Normal"/>
    <w:next w:val="Normal"/>
    <w:link w:val="Heading1Char"/>
    <w:uiPriority w:val="9"/>
    <w:qFormat/>
    <w:rsid w:val="00631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1B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32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Bullets"/>
    <w:basedOn w:val="Normal"/>
    <w:link w:val="ListParagraphChar"/>
    <w:uiPriority w:val="34"/>
    <w:qFormat/>
    <w:rsid w:val="002E3225"/>
    <w:pPr>
      <w:ind w:left="720"/>
      <w:contextualSpacing/>
    </w:pPr>
  </w:style>
  <w:style w:type="table" w:styleId="TableGrid">
    <w:name w:val="Table Grid"/>
    <w:basedOn w:val="TableNormal"/>
    <w:uiPriority w:val="39"/>
    <w:rsid w:val="006A3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FA,FA Fu§notentext,RSC_WP (footnotes),Footnote Text Char1 Char1,Footnote Text Char Char Char,Footnote Text Char1 Char Char Char Char,Footnote Text Char Char Char Char Char Char,fn,ADB,single space,FOOTNOTES,Fu§notentext Char,ft,Foot,f"/>
    <w:basedOn w:val="Normal"/>
    <w:link w:val="FootnoteTextChar"/>
    <w:uiPriority w:val="99"/>
    <w:unhideWhenUsed/>
    <w:rsid w:val="006A3136"/>
    <w:pPr>
      <w:spacing w:after="0" w:line="240" w:lineRule="auto"/>
    </w:pPr>
    <w:rPr>
      <w:rFonts w:eastAsiaTheme="minorEastAsia"/>
      <w:sz w:val="20"/>
      <w:szCs w:val="20"/>
    </w:rPr>
  </w:style>
  <w:style w:type="character" w:customStyle="1" w:styleId="FootnoteTextChar">
    <w:name w:val="Footnote Text Char"/>
    <w:aliases w:val="Char Char,FA Char,FA Fu§notentext Char,RSC_WP (footnotes) Char,Footnote Text Char1 Char1 Char,Footnote Text Char Char Char Char,Footnote Text Char1 Char Char Char Char Char,Footnote Text Char Char Char Char Char Char Char,fn Char"/>
    <w:basedOn w:val="DefaultParagraphFont"/>
    <w:link w:val="FootnoteText"/>
    <w:uiPriority w:val="99"/>
    <w:rsid w:val="006A3136"/>
    <w:rPr>
      <w:rFonts w:eastAsiaTheme="minorEastAsia"/>
      <w:sz w:val="20"/>
      <w:szCs w:val="20"/>
    </w:rPr>
  </w:style>
  <w:style w:type="character" w:styleId="FootnoteReference">
    <w:name w:val="footnote reference"/>
    <w:aliases w:val="ftref,RSC_WP (footnote reference),Footnote Ref1,16 Point,Superscript 6 Point,BVI fnr,Times 10 Point, Exposant 3 Point,Footnote symbol,Footnote reference number,Exposant 3 Point,EN Footnote Reference,note TESI,Footnote Reference Number"/>
    <w:basedOn w:val="DefaultParagraphFont"/>
    <w:uiPriority w:val="99"/>
    <w:unhideWhenUsed/>
    <w:qFormat/>
    <w:rsid w:val="006A3136"/>
    <w:rPr>
      <w:vertAlign w:val="superscript"/>
    </w:rPr>
  </w:style>
  <w:style w:type="character" w:styleId="Hyperlink">
    <w:name w:val="Hyperlink"/>
    <w:basedOn w:val="DefaultParagraphFont"/>
    <w:uiPriority w:val="99"/>
    <w:unhideWhenUsed/>
    <w:rsid w:val="006A3136"/>
    <w:rPr>
      <w:color w:val="0000FF" w:themeColor="hyperlink"/>
      <w:u w:val="single"/>
    </w:rPr>
  </w:style>
  <w:style w:type="paragraph" w:styleId="Header">
    <w:name w:val="header"/>
    <w:basedOn w:val="Normal"/>
    <w:link w:val="HeaderChar"/>
    <w:uiPriority w:val="99"/>
    <w:unhideWhenUsed/>
    <w:rsid w:val="0039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353"/>
  </w:style>
  <w:style w:type="paragraph" w:styleId="Footer">
    <w:name w:val="footer"/>
    <w:basedOn w:val="Normal"/>
    <w:link w:val="FooterChar"/>
    <w:uiPriority w:val="99"/>
    <w:unhideWhenUsed/>
    <w:rsid w:val="0039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53"/>
  </w:style>
  <w:style w:type="character" w:styleId="CommentReference">
    <w:name w:val="annotation reference"/>
    <w:basedOn w:val="DefaultParagraphFont"/>
    <w:uiPriority w:val="99"/>
    <w:unhideWhenUsed/>
    <w:rsid w:val="00F22DA0"/>
    <w:rPr>
      <w:sz w:val="16"/>
      <w:szCs w:val="16"/>
    </w:rPr>
  </w:style>
  <w:style w:type="paragraph" w:styleId="CommentText">
    <w:name w:val="annotation text"/>
    <w:basedOn w:val="Normal"/>
    <w:link w:val="CommentTextChar"/>
    <w:uiPriority w:val="99"/>
    <w:unhideWhenUsed/>
    <w:rsid w:val="00F22DA0"/>
    <w:pPr>
      <w:spacing w:line="240" w:lineRule="auto"/>
    </w:pPr>
    <w:rPr>
      <w:sz w:val="20"/>
      <w:szCs w:val="20"/>
    </w:rPr>
  </w:style>
  <w:style w:type="character" w:customStyle="1" w:styleId="CommentTextChar">
    <w:name w:val="Comment Text Char"/>
    <w:basedOn w:val="DefaultParagraphFont"/>
    <w:link w:val="CommentText"/>
    <w:uiPriority w:val="99"/>
    <w:rsid w:val="00F22DA0"/>
    <w:rPr>
      <w:sz w:val="20"/>
      <w:szCs w:val="20"/>
    </w:rPr>
  </w:style>
  <w:style w:type="character" w:customStyle="1" w:styleId="ListParagraphChar">
    <w:name w:val="List Paragraph Char"/>
    <w:aliases w:val="Akapit z listą BS Char,List Paragraph 1 Char,Bullets Char"/>
    <w:basedOn w:val="DefaultParagraphFont"/>
    <w:link w:val="ListParagraph"/>
    <w:uiPriority w:val="34"/>
    <w:rsid w:val="00F22DA0"/>
  </w:style>
  <w:style w:type="paragraph" w:styleId="BalloonText">
    <w:name w:val="Balloon Text"/>
    <w:basedOn w:val="Normal"/>
    <w:link w:val="BalloonTextChar"/>
    <w:uiPriority w:val="99"/>
    <w:semiHidden/>
    <w:unhideWhenUsed/>
    <w:rsid w:val="00F2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A0"/>
    <w:rPr>
      <w:rFonts w:ascii="Tahoma" w:hAnsi="Tahoma" w:cs="Tahoma"/>
      <w:sz w:val="16"/>
      <w:szCs w:val="16"/>
    </w:rPr>
  </w:style>
  <w:style w:type="paragraph" w:styleId="EndnoteText">
    <w:name w:val="endnote text"/>
    <w:basedOn w:val="Normal"/>
    <w:link w:val="EndnoteTextChar"/>
    <w:uiPriority w:val="99"/>
    <w:semiHidden/>
    <w:unhideWhenUsed/>
    <w:rsid w:val="00FB0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313"/>
    <w:rPr>
      <w:sz w:val="20"/>
      <w:szCs w:val="20"/>
    </w:rPr>
  </w:style>
  <w:style w:type="character" w:styleId="EndnoteReference">
    <w:name w:val="endnote reference"/>
    <w:basedOn w:val="DefaultParagraphFont"/>
    <w:uiPriority w:val="99"/>
    <w:semiHidden/>
    <w:unhideWhenUsed/>
    <w:rsid w:val="00FB0313"/>
    <w:rPr>
      <w:vertAlign w:val="superscript"/>
    </w:rPr>
  </w:style>
  <w:style w:type="paragraph" w:styleId="Title">
    <w:name w:val="Title"/>
    <w:basedOn w:val="Normal"/>
    <w:next w:val="Normal"/>
    <w:link w:val="TitleChar"/>
    <w:uiPriority w:val="10"/>
    <w:qFormat/>
    <w:rsid w:val="00631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B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1B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BB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31B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B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1BB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732BC"/>
    <w:pPr>
      <w:outlineLvl w:val="9"/>
    </w:pPr>
  </w:style>
  <w:style w:type="paragraph" w:styleId="TOC1">
    <w:name w:val="toc 1"/>
    <w:basedOn w:val="Normal"/>
    <w:next w:val="Normal"/>
    <w:autoRedefine/>
    <w:uiPriority w:val="39"/>
    <w:unhideWhenUsed/>
    <w:rsid w:val="004732BC"/>
    <w:pPr>
      <w:spacing w:after="100"/>
    </w:pPr>
  </w:style>
  <w:style w:type="paragraph" w:styleId="TOC2">
    <w:name w:val="toc 2"/>
    <w:basedOn w:val="Normal"/>
    <w:next w:val="Normal"/>
    <w:autoRedefine/>
    <w:uiPriority w:val="39"/>
    <w:unhideWhenUsed/>
    <w:rsid w:val="004D7174"/>
    <w:pPr>
      <w:tabs>
        <w:tab w:val="right" w:leader="dot" w:pos="9350"/>
      </w:tabs>
      <w:spacing w:after="0" w:line="240" w:lineRule="auto"/>
      <w:ind w:left="216"/>
    </w:pPr>
  </w:style>
  <w:style w:type="paragraph" w:styleId="TOC3">
    <w:name w:val="toc 3"/>
    <w:basedOn w:val="Normal"/>
    <w:next w:val="Normal"/>
    <w:autoRedefine/>
    <w:uiPriority w:val="39"/>
    <w:unhideWhenUsed/>
    <w:rsid w:val="004732BC"/>
    <w:pPr>
      <w:spacing w:after="100"/>
      <w:ind w:left="440"/>
    </w:pPr>
  </w:style>
  <w:style w:type="character" w:customStyle="1" w:styleId="Heading4Char">
    <w:name w:val="Heading 4 Char"/>
    <w:basedOn w:val="DefaultParagraphFont"/>
    <w:link w:val="Heading4"/>
    <w:uiPriority w:val="9"/>
    <w:rsid w:val="004732B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543EE"/>
    <w:rPr>
      <w:rFonts w:ascii="Times New Roman" w:hAnsi="Times New Roman" w:cs="Times New Roman"/>
      <w:sz w:val="24"/>
      <w:szCs w:val="24"/>
    </w:rPr>
  </w:style>
  <w:style w:type="paragraph" w:customStyle="1" w:styleId="Default">
    <w:name w:val="Default"/>
    <w:rsid w:val="00295B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4014749">
      <w:bodyDiv w:val="1"/>
      <w:marLeft w:val="0"/>
      <w:marRight w:val="0"/>
      <w:marTop w:val="0"/>
      <w:marBottom w:val="0"/>
      <w:divBdr>
        <w:top w:val="none" w:sz="0" w:space="0" w:color="auto"/>
        <w:left w:val="none" w:sz="0" w:space="0" w:color="auto"/>
        <w:bottom w:val="none" w:sz="0" w:space="0" w:color="auto"/>
        <w:right w:val="none" w:sz="0" w:space="0" w:color="auto"/>
      </w:divBdr>
      <w:divsChild>
        <w:div w:id="233274166">
          <w:marLeft w:val="0"/>
          <w:marRight w:val="0"/>
          <w:marTop w:val="0"/>
          <w:marBottom w:val="0"/>
          <w:divBdr>
            <w:top w:val="single" w:sz="8" w:space="9" w:color="CDCCD7"/>
            <w:left w:val="none" w:sz="0" w:space="0" w:color="auto"/>
            <w:bottom w:val="none" w:sz="0" w:space="0" w:color="auto"/>
            <w:right w:val="none" w:sz="0" w:space="0" w:color="auto"/>
          </w:divBdr>
          <w:divsChild>
            <w:div w:id="628055300">
              <w:marLeft w:val="0"/>
              <w:marRight w:val="0"/>
              <w:marTop w:val="0"/>
              <w:marBottom w:val="187"/>
              <w:divBdr>
                <w:top w:val="single" w:sz="8" w:space="9" w:color="CDCCD7"/>
                <w:left w:val="single" w:sz="8" w:space="9" w:color="CDCCD7"/>
                <w:bottom w:val="single" w:sz="8" w:space="9" w:color="CDCCD7"/>
                <w:right w:val="single" w:sz="8" w:space="9" w:color="CDCCD7"/>
              </w:divBdr>
              <w:divsChild>
                <w:div w:id="178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281">
      <w:bodyDiv w:val="1"/>
      <w:marLeft w:val="0"/>
      <w:marRight w:val="0"/>
      <w:marTop w:val="0"/>
      <w:marBottom w:val="0"/>
      <w:divBdr>
        <w:top w:val="none" w:sz="0" w:space="0" w:color="auto"/>
        <w:left w:val="none" w:sz="0" w:space="0" w:color="auto"/>
        <w:bottom w:val="none" w:sz="0" w:space="0" w:color="auto"/>
        <w:right w:val="none" w:sz="0" w:space="0" w:color="auto"/>
      </w:divBdr>
      <w:divsChild>
        <w:div w:id="1208490429">
          <w:marLeft w:val="0"/>
          <w:marRight w:val="0"/>
          <w:marTop w:val="0"/>
          <w:marBottom w:val="0"/>
          <w:divBdr>
            <w:top w:val="none" w:sz="0" w:space="0" w:color="auto"/>
            <w:left w:val="none" w:sz="0" w:space="0" w:color="auto"/>
            <w:bottom w:val="none" w:sz="0" w:space="0" w:color="auto"/>
            <w:right w:val="none" w:sz="0" w:space="0" w:color="auto"/>
          </w:divBdr>
          <w:divsChild>
            <w:div w:id="2102331544">
              <w:marLeft w:val="0"/>
              <w:marRight w:val="0"/>
              <w:marTop w:val="0"/>
              <w:marBottom w:val="0"/>
              <w:divBdr>
                <w:top w:val="none" w:sz="0" w:space="0" w:color="auto"/>
                <w:left w:val="none" w:sz="0" w:space="0" w:color="auto"/>
                <w:bottom w:val="none" w:sz="0" w:space="0" w:color="auto"/>
                <w:right w:val="none" w:sz="0" w:space="0" w:color="auto"/>
              </w:divBdr>
              <w:divsChild>
                <w:div w:id="1006250293">
                  <w:marLeft w:val="0"/>
                  <w:marRight w:val="0"/>
                  <w:marTop w:val="0"/>
                  <w:marBottom w:val="0"/>
                  <w:divBdr>
                    <w:top w:val="none" w:sz="0" w:space="0" w:color="auto"/>
                    <w:left w:val="none" w:sz="0" w:space="0" w:color="auto"/>
                    <w:bottom w:val="single" w:sz="8" w:space="19" w:color="DDDDDD"/>
                    <w:right w:val="none" w:sz="0" w:space="0" w:color="auto"/>
                  </w:divBdr>
                  <w:divsChild>
                    <w:div w:id="404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9055">
      <w:bodyDiv w:val="1"/>
      <w:marLeft w:val="0"/>
      <w:marRight w:val="0"/>
      <w:marTop w:val="0"/>
      <w:marBottom w:val="0"/>
      <w:divBdr>
        <w:top w:val="none" w:sz="0" w:space="0" w:color="auto"/>
        <w:left w:val="none" w:sz="0" w:space="0" w:color="auto"/>
        <w:bottom w:val="none" w:sz="0" w:space="0" w:color="auto"/>
        <w:right w:val="none" w:sz="0" w:space="0" w:color="auto"/>
      </w:divBdr>
      <w:divsChild>
        <w:div w:id="1492865073">
          <w:marLeft w:val="0"/>
          <w:marRight w:val="0"/>
          <w:marTop w:val="0"/>
          <w:marBottom w:val="0"/>
          <w:divBdr>
            <w:top w:val="single" w:sz="8" w:space="11" w:color="CDCCD7"/>
            <w:left w:val="none" w:sz="0" w:space="0" w:color="auto"/>
            <w:bottom w:val="none" w:sz="0" w:space="0" w:color="auto"/>
            <w:right w:val="none" w:sz="0" w:space="0" w:color="auto"/>
          </w:divBdr>
          <w:divsChild>
            <w:div w:id="17194747">
              <w:marLeft w:val="0"/>
              <w:marRight w:val="0"/>
              <w:marTop w:val="0"/>
              <w:marBottom w:val="215"/>
              <w:divBdr>
                <w:top w:val="single" w:sz="8" w:space="11" w:color="CDCCD7"/>
                <w:left w:val="single" w:sz="8" w:space="11" w:color="CDCCD7"/>
                <w:bottom w:val="single" w:sz="8" w:space="11" w:color="CDCCD7"/>
                <w:right w:val="single" w:sz="8" w:space="11" w:color="CDCCD7"/>
              </w:divBdr>
              <w:divsChild>
                <w:div w:id="1973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2387">
      <w:bodyDiv w:val="1"/>
      <w:marLeft w:val="0"/>
      <w:marRight w:val="0"/>
      <w:marTop w:val="0"/>
      <w:marBottom w:val="0"/>
      <w:divBdr>
        <w:top w:val="none" w:sz="0" w:space="0" w:color="auto"/>
        <w:left w:val="none" w:sz="0" w:space="0" w:color="auto"/>
        <w:bottom w:val="none" w:sz="0" w:space="0" w:color="auto"/>
        <w:right w:val="none" w:sz="0" w:space="0" w:color="auto"/>
      </w:divBdr>
    </w:div>
    <w:div w:id="205066729">
      <w:bodyDiv w:val="1"/>
      <w:marLeft w:val="0"/>
      <w:marRight w:val="0"/>
      <w:marTop w:val="0"/>
      <w:marBottom w:val="0"/>
      <w:divBdr>
        <w:top w:val="none" w:sz="0" w:space="0" w:color="auto"/>
        <w:left w:val="none" w:sz="0" w:space="0" w:color="auto"/>
        <w:bottom w:val="none" w:sz="0" w:space="0" w:color="auto"/>
        <w:right w:val="none" w:sz="0" w:space="0" w:color="auto"/>
      </w:divBdr>
      <w:divsChild>
        <w:div w:id="495926790">
          <w:marLeft w:val="0"/>
          <w:marRight w:val="0"/>
          <w:marTop w:val="0"/>
          <w:marBottom w:val="0"/>
          <w:divBdr>
            <w:top w:val="none" w:sz="0" w:space="0" w:color="auto"/>
            <w:left w:val="none" w:sz="0" w:space="0" w:color="auto"/>
            <w:bottom w:val="none" w:sz="0" w:space="0" w:color="auto"/>
            <w:right w:val="none" w:sz="0" w:space="0" w:color="auto"/>
          </w:divBdr>
          <w:divsChild>
            <w:div w:id="186873902">
              <w:marLeft w:val="0"/>
              <w:marRight w:val="0"/>
              <w:marTop w:val="0"/>
              <w:marBottom w:val="0"/>
              <w:divBdr>
                <w:top w:val="none" w:sz="0" w:space="0" w:color="auto"/>
                <w:left w:val="none" w:sz="0" w:space="0" w:color="auto"/>
                <w:bottom w:val="none" w:sz="0" w:space="0" w:color="auto"/>
                <w:right w:val="none" w:sz="0" w:space="0" w:color="auto"/>
              </w:divBdr>
              <w:divsChild>
                <w:div w:id="632753637">
                  <w:marLeft w:val="0"/>
                  <w:marRight w:val="0"/>
                  <w:marTop w:val="0"/>
                  <w:marBottom w:val="0"/>
                  <w:divBdr>
                    <w:top w:val="none" w:sz="0" w:space="0" w:color="auto"/>
                    <w:left w:val="none" w:sz="0" w:space="0" w:color="auto"/>
                    <w:bottom w:val="none" w:sz="0" w:space="0" w:color="auto"/>
                    <w:right w:val="none" w:sz="0" w:space="0" w:color="auto"/>
                  </w:divBdr>
                  <w:divsChild>
                    <w:div w:id="175731691">
                      <w:marLeft w:val="0"/>
                      <w:marRight w:val="0"/>
                      <w:marTop w:val="0"/>
                      <w:marBottom w:val="0"/>
                      <w:divBdr>
                        <w:top w:val="none" w:sz="0" w:space="0" w:color="auto"/>
                        <w:left w:val="none" w:sz="0" w:space="0" w:color="auto"/>
                        <w:bottom w:val="none" w:sz="0" w:space="0" w:color="auto"/>
                        <w:right w:val="none" w:sz="0" w:space="0" w:color="auto"/>
                      </w:divBdr>
                      <w:divsChild>
                        <w:div w:id="972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1293">
      <w:bodyDiv w:val="1"/>
      <w:marLeft w:val="0"/>
      <w:marRight w:val="0"/>
      <w:marTop w:val="0"/>
      <w:marBottom w:val="0"/>
      <w:divBdr>
        <w:top w:val="none" w:sz="0" w:space="0" w:color="auto"/>
        <w:left w:val="none" w:sz="0" w:space="0" w:color="auto"/>
        <w:bottom w:val="none" w:sz="0" w:space="0" w:color="auto"/>
        <w:right w:val="none" w:sz="0" w:space="0" w:color="auto"/>
      </w:divBdr>
      <w:divsChild>
        <w:div w:id="1745714916">
          <w:marLeft w:val="0"/>
          <w:marRight w:val="0"/>
          <w:marTop w:val="0"/>
          <w:marBottom w:val="0"/>
          <w:divBdr>
            <w:top w:val="none" w:sz="0" w:space="0" w:color="auto"/>
            <w:left w:val="none" w:sz="0" w:space="0" w:color="auto"/>
            <w:bottom w:val="none" w:sz="0" w:space="0" w:color="auto"/>
            <w:right w:val="none" w:sz="0" w:space="0" w:color="auto"/>
          </w:divBdr>
        </w:div>
      </w:divsChild>
    </w:div>
    <w:div w:id="318848204">
      <w:bodyDiv w:val="1"/>
      <w:marLeft w:val="0"/>
      <w:marRight w:val="0"/>
      <w:marTop w:val="0"/>
      <w:marBottom w:val="0"/>
      <w:divBdr>
        <w:top w:val="none" w:sz="0" w:space="0" w:color="auto"/>
        <w:left w:val="none" w:sz="0" w:space="0" w:color="auto"/>
        <w:bottom w:val="none" w:sz="0" w:space="0" w:color="auto"/>
        <w:right w:val="none" w:sz="0" w:space="0" w:color="auto"/>
      </w:divBdr>
      <w:divsChild>
        <w:div w:id="1037312213">
          <w:marLeft w:val="0"/>
          <w:marRight w:val="0"/>
          <w:marTop w:val="0"/>
          <w:marBottom w:val="0"/>
          <w:divBdr>
            <w:top w:val="none" w:sz="0" w:space="0" w:color="auto"/>
            <w:left w:val="none" w:sz="0" w:space="0" w:color="auto"/>
            <w:bottom w:val="none" w:sz="0" w:space="0" w:color="auto"/>
            <w:right w:val="none" w:sz="0" w:space="0" w:color="auto"/>
          </w:divBdr>
          <w:divsChild>
            <w:div w:id="201600178">
              <w:marLeft w:val="0"/>
              <w:marRight w:val="0"/>
              <w:marTop w:val="0"/>
              <w:marBottom w:val="0"/>
              <w:divBdr>
                <w:top w:val="none" w:sz="0" w:space="0" w:color="auto"/>
                <w:left w:val="none" w:sz="0" w:space="0" w:color="auto"/>
                <w:bottom w:val="none" w:sz="0" w:space="0" w:color="auto"/>
                <w:right w:val="none" w:sz="0" w:space="0" w:color="auto"/>
              </w:divBdr>
              <w:divsChild>
                <w:div w:id="1757826440">
                  <w:marLeft w:val="0"/>
                  <w:marRight w:val="0"/>
                  <w:marTop w:val="0"/>
                  <w:marBottom w:val="0"/>
                  <w:divBdr>
                    <w:top w:val="none" w:sz="0" w:space="0" w:color="auto"/>
                    <w:left w:val="none" w:sz="0" w:space="0" w:color="auto"/>
                    <w:bottom w:val="none" w:sz="0" w:space="0" w:color="auto"/>
                    <w:right w:val="none" w:sz="0" w:space="0" w:color="auto"/>
                  </w:divBdr>
                  <w:divsChild>
                    <w:div w:id="803277801">
                      <w:marLeft w:val="0"/>
                      <w:marRight w:val="0"/>
                      <w:marTop w:val="0"/>
                      <w:marBottom w:val="0"/>
                      <w:divBdr>
                        <w:top w:val="none" w:sz="0" w:space="0" w:color="auto"/>
                        <w:left w:val="none" w:sz="0" w:space="0" w:color="auto"/>
                        <w:bottom w:val="none" w:sz="0" w:space="0" w:color="auto"/>
                        <w:right w:val="none" w:sz="0" w:space="0" w:color="auto"/>
                      </w:divBdr>
                      <w:divsChild>
                        <w:div w:id="458456644">
                          <w:marLeft w:val="0"/>
                          <w:marRight w:val="0"/>
                          <w:marTop w:val="0"/>
                          <w:marBottom w:val="0"/>
                          <w:divBdr>
                            <w:top w:val="none" w:sz="0" w:space="0" w:color="auto"/>
                            <w:left w:val="none" w:sz="0" w:space="0" w:color="auto"/>
                            <w:bottom w:val="none" w:sz="0" w:space="0" w:color="auto"/>
                            <w:right w:val="none" w:sz="0" w:space="0" w:color="auto"/>
                          </w:divBdr>
                          <w:divsChild>
                            <w:div w:id="108816619">
                              <w:marLeft w:val="0"/>
                              <w:marRight w:val="0"/>
                              <w:marTop w:val="0"/>
                              <w:marBottom w:val="0"/>
                              <w:divBdr>
                                <w:top w:val="none" w:sz="0" w:space="0" w:color="auto"/>
                                <w:left w:val="none" w:sz="0" w:space="0" w:color="auto"/>
                                <w:bottom w:val="none" w:sz="0" w:space="0" w:color="auto"/>
                                <w:right w:val="none" w:sz="0" w:space="0" w:color="auto"/>
                              </w:divBdr>
                              <w:divsChild>
                                <w:div w:id="407189465">
                                  <w:marLeft w:val="0"/>
                                  <w:marRight w:val="0"/>
                                  <w:marTop w:val="0"/>
                                  <w:marBottom w:val="0"/>
                                  <w:divBdr>
                                    <w:top w:val="none" w:sz="0" w:space="0" w:color="auto"/>
                                    <w:left w:val="none" w:sz="0" w:space="0" w:color="auto"/>
                                    <w:bottom w:val="none" w:sz="0" w:space="0" w:color="auto"/>
                                    <w:right w:val="none" w:sz="0" w:space="0" w:color="auto"/>
                                  </w:divBdr>
                                  <w:divsChild>
                                    <w:div w:id="2141653894">
                                      <w:marLeft w:val="0"/>
                                      <w:marRight w:val="0"/>
                                      <w:marTop w:val="0"/>
                                      <w:marBottom w:val="0"/>
                                      <w:divBdr>
                                        <w:top w:val="none" w:sz="0" w:space="0" w:color="auto"/>
                                        <w:left w:val="none" w:sz="0" w:space="0" w:color="auto"/>
                                        <w:bottom w:val="none" w:sz="0" w:space="0" w:color="auto"/>
                                        <w:right w:val="none" w:sz="0" w:space="0" w:color="auto"/>
                                      </w:divBdr>
                                      <w:divsChild>
                                        <w:div w:id="18541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43527">
      <w:bodyDiv w:val="1"/>
      <w:marLeft w:val="0"/>
      <w:marRight w:val="0"/>
      <w:marTop w:val="0"/>
      <w:marBottom w:val="0"/>
      <w:divBdr>
        <w:top w:val="none" w:sz="0" w:space="0" w:color="auto"/>
        <w:left w:val="none" w:sz="0" w:space="0" w:color="auto"/>
        <w:bottom w:val="none" w:sz="0" w:space="0" w:color="auto"/>
        <w:right w:val="none" w:sz="0" w:space="0" w:color="auto"/>
      </w:divBdr>
      <w:divsChild>
        <w:div w:id="2002270212">
          <w:marLeft w:val="0"/>
          <w:marRight w:val="0"/>
          <w:marTop w:val="0"/>
          <w:marBottom w:val="0"/>
          <w:divBdr>
            <w:top w:val="single" w:sz="8" w:space="9" w:color="CDCCD7"/>
            <w:left w:val="none" w:sz="0" w:space="0" w:color="auto"/>
            <w:bottom w:val="none" w:sz="0" w:space="0" w:color="auto"/>
            <w:right w:val="none" w:sz="0" w:space="0" w:color="auto"/>
          </w:divBdr>
          <w:divsChild>
            <w:div w:id="1744402737">
              <w:marLeft w:val="0"/>
              <w:marRight w:val="0"/>
              <w:marTop w:val="0"/>
              <w:marBottom w:val="187"/>
              <w:divBdr>
                <w:top w:val="single" w:sz="8" w:space="9" w:color="CDCCD7"/>
                <w:left w:val="single" w:sz="8" w:space="9" w:color="CDCCD7"/>
                <w:bottom w:val="single" w:sz="8" w:space="9" w:color="CDCCD7"/>
                <w:right w:val="single" w:sz="8" w:space="9" w:color="CDCCD7"/>
              </w:divBdr>
              <w:divsChild>
                <w:div w:id="1142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2387">
      <w:bodyDiv w:val="1"/>
      <w:marLeft w:val="0"/>
      <w:marRight w:val="0"/>
      <w:marTop w:val="0"/>
      <w:marBottom w:val="0"/>
      <w:divBdr>
        <w:top w:val="none" w:sz="0" w:space="0" w:color="auto"/>
        <w:left w:val="none" w:sz="0" w:space="0" w:color="auto"/>
        <w:bottom w:val="none" w:sz="0" w:space="0" w:color="auto"/>
        <w:right w:val="none" w:sz="0" w:space="0" w:color="auto"/>
      </w:divBdr>
      <w:divsChild>
        <w:div w:id="32312204">
          <w:marLeft w:val="0"/>
          <w:marRight w:val="0"/>
          <w:marTop w:val="0"/>
          <w:marBottom w:val="0"/>
          <w:divBdr>
            <w:top w:val="single" w:sz="8" w:space="11" w:color="CDCCD7"/>
            <w:left w:val="none" w:sz="0" w:space="0" w:color="auto"/>
            <w:bottom w:val="none" w:sz="0" w:space="0" w:color="auto"/>
            <w:right w:val="none" w:sz="0" w:space="0" w:color="auto"/>
          </w:divBdr>
          <w:divsChild>
            <w:div w:id="1998343443">
              <w:marLeft w:val="0"/>
              <w:marRight w:val="0"/>
              <w:marTop w:val="0"/>
              <w:marBottom w:val="215"/>
              <w:divBdr>
                <w:top w:val="single" w:sz="8" w:space="11" w:color="CDCCD7"/>
                <w:left w:val="single" w:sz="8" w:space="11" w:color="CDCCD7"/>
                <w:bottom w:val="single" w:sz="8" w:space="11" w:color="CDCCD7"/>
                <w:right w:val="single" w:sz="8" w:space="11" w:color="CDCCD7"/>
              </w:divBdr>
              <w:divsChild>
                <w:div w:id="21267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962">
      <w:bodyDiv w:val="1"/>
      <w:marLeft w:val="0"/>
      <w:marRight w:val="0"/>
      <w:marTop w:val="0"/>
      <w:marBottom w:val="0"/>
      <w:divBdr>
        <w:top w:val="none" w:sz="0" w:space="0" w:color="auto"/>
        <w:left w:val="none" w:sz="0" w:space="0" w:color="auto"/>
        <w:bottom w:val="none" w:sz="0" w:space="0" w:color="auto"/>
        <w:right w:val="none" w:sz="0" w:space="0" w:color="auto"/>
      </w:divBdr>
    </w:div>
    <w:div w:id="483014604">
      <w:bodyDiv w:val="1"/>
      <w:marLeft w:val="0"/>
      <w:marRight w:val="0"/>
      <w:marTop w:val="0"/>
      <w:marBottom w:val="0"/>
      <w:divBdr>
        <w:top w:val="none" w:sz="0" w:space="0" w:color="auto"/>
        <w:left w:val="none" w:sz="0" w:space="0" w:color="auto"/>
        <w:bottom w:val="none" w:sz="0" w:space="0" w:color="auto"/>
        <w:right w:val="none" w:sz="0" w:space="0" w:color="auto"/>
      </w:divBdr>
      <w:divsChild>
        <w:div w:id="712463140">
          <w:marLeft w:val="0"/>
          <w:marRight w:val="0"/>
          <w:marTop w:val="0"/>
          <w:marBottom w:val="0"/>
          <w:divBdr>
            <w:top w:val="none" w:sz="0" w:space="0" w:color="auto"/>
            <w:left w:val="none" w:sz="0" w:space="0" w:color="auto"/>
            <w:bottom w:val="none" w:sz="0" w:space="0" w:color="auto"/>
            <w:right w:val="none" w:sz="0" w:space="0" w:color="auto"/>
          </w:divBdr>
          <w:divsChild>
            <w:div w:id="1988892808">
              <w:marLeft w:val="0"/>
              <w:marRight w:val="0"/>
              <w:marTop w:val="0"/>
              <w:marBottom w:val="0"/>
              <w:divBdr>
                <w:top w:val="none" w:sz="0" w:space="0" w:color="auto"/>
                <w:left w:val="none" w:sz="0" w:space="0" w:color="auto"/>
                <w:bottom w:val="none" w:sz="0" w:space="0" w:color="auto"/>
                <w:right w:val="none" w:sz="0" w:space="0" w:color="auto"/>
              </w:divBdr>
              <w:divsChild>
                <w:div w:id="1111165298">
                  <w:marLeft w:val="0"/>
                  <w:marRight w:val="0"/>
                  <w:marTop w:val="0"/>
                  <w:marBottom w:val="0"/>
                  <w:divBdr>
                    <w:top w:val="none" w:sz="0" w:space="0" w:color="auto"/>
                    <w:left w:val="none" w:sz="0" w:space="0" w:color="auto"/>
                    <w:bottom w:val="none" w:sz="0" w:space="0" w:color="auto"/>
                    <w:right w:val="none" w:sz="0" w:space="0" w:color="auto"/>
                  </w:divBdr>
                  <w:divsChild>
                    <w:div w:id="1864827065">
                      <w:marLeft w:val="0"/>
                      <w:marRight w:val="0"/>
                      <w:marTop w:val="0"/>
                      <w:marBottom w:val="0"/>
                      <w:divBdr>
                        <w:top w:val="none" w:sz="0" w:space="0" w:color="auto"/>
                        <w:left w:val="none" w:sz="0" w:space="0" w:color="auto"/>
                        <w:bottom w:val="none" w:sz="0" w:space="0" w:color="auto"/>
                        <w:right w:val="none" w:sz="0" w:space="0" w:color="auto"/>
                      </w:divBdr>
                      <w:divsChild>
                        <w:div w:id="19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1236">
      <w:bodyDiv w:val="1"/>
      <w:marLeft w:val="0"/>
      <w:marRight w:val="0"/>
      <w:marTop w:val="0"/>
      <w:marBottom w:val="0"/>
      <w:divBdr>
        <w:top w:val="none" w:sz="0" w:space="0" w:color="auto"/>
        <w:left w:val="none" w:sz="0" w:space="0" w:color="auto"/>
        <w:bottom w:val="none" w:sz="0" w:space="0" w:color="auto"/>
        <w:right w:val="none" w:sz="0" w:space="0" w:color="auto"/>
      </w:divBdr>
      <w:divsChild>
        <w:div w:id="1463500595">
          <w:marLeft w:val="0"/>
          <w:marRight w:val="0"/>
          <w:marTop w:val="0"/>
          <w:marBottom w:val="0"/>
          <w:divBdr>
            <w:top w:val="none" w:sz="0" w:space="0" w:color="auto"/>
            <w:left w:val="none" w:sz="0" w:space="0" w:color="auto"/>
            <w:bottom w:val="none" w:sz="0" w:space="0" w:color="auto"/>
            <w:right w:val="none" w:sz="0" w:space="0" w:color="auto"/>
          </w:divBdr>
          <w:divsChild>
            <w:div w:id="386223532">
              <w:marLeft w:val="0"/>
              <w:marRight w:val="0"/>
              <w:marTop w:val="0"/>
              <w:marBottom w:val="0"/>
              <w:divBdr>
                <w:top w:val="none" w:sz="0" w:space="0" w:color="auto"/>
                <w:left w:val="none" w:sz="0" w:space="0" w:color="auto"/>
                <w:bottom w:val="none" w:sz="0" w:space="0" w:color="auto"/>
                <w:right w:val="none" w:sz="0" w:space="0" w:color="auto"/>
              </w:divBdr>
              <w:divsChild>
                <w:div w:id="620500060">
                  <w:marLeft w:val="0"/>
                  <w:marRight w:val="0"/>
                  <w:marTop w:val="0"/>
                  <w:marBottom w:val="0"/>
                  <w:divBdr>
                    <w:top w:val="none" w:sz="0" w:space="0" w:color="auto"/>
                    <w:left w:val="none" w:sz="0" w:space="0" w:color="auto"/>
                    <w:bottom w:val="none" w:sz="0" w:space="0" w:color="auto"/>
                    <w:right w:val="none" w:sz="0" w:space="0" w:color="auto"/>
                  </w:divBdr>
                  <w:divsChild>
                    <w:div w:id="1670866015">
                      <w:marLeft w:val="0"/>
                      <w:marRight w:val="0"/>
                      <w:marTop w:val="0"/>
                      <w:marBottom w:val="0"/>
                      <w:divBdr>
                        <w:top w:val="none" w:sz="0" w:space="0" w:color="auto"/>
                        <w:left w:val="none" w:sz="0" w:space="0" w:color="auto"/>
                        <w:bottom w:val="none" w:sz="0" w:space="0" w:color="auto"/>
                        <w:right w:val="none" w:sz="0" w:space="0" w:color="auto"/>
                      </w:divBdr>
                      <w:divsChild>
                        <w:div w:id="25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03574">
      <w:bodyDiv w:val="1"/>
      <w:marLeft w:val="0"/>
      <w:marRight w:val="0"/>
      <w:marTop w:val="0"/>
      <w:marBottom w:val="0"/>
      <w:divBdr>
        <w:top w:val="none" w:sz="0" w:space="0" w:color="auto"/>
        <w:left w:val="none" w:sz="0" w:space="0" w:color="auto"/>
        <w:bottom w:val="none" w:sz="0" w:space="0" w:color="auto"/>
        <w:right w:val="none" w:sz="0" w:space="0" w:color="auto"/>
      </w:divBdr>
      <w:divsChild>
        <w:div w:id="133838779">
          <w:marLeft w:val="0"/>
          <w:marRight w:val="0"/>
          <w:marTop w:val="0"/>
          <w:marBottom w:val="0"/>
          <w:divBdr>
            <w:top w:val="single" w:sz="8" w:space="9" w:color="CDCCD7"/>
            <w:left w:val="none" w:sz="0" w:space="0" w:color="auto"/>
            <w:bottom w:val="none" w:sz="0" w:space="0" w:color="auto"/>
            <w:right w:val="none" w:sz="0" w:space="0" w:color="auto"/>
          </w:divBdr>
          <w:divsChild>
            <w:div w:id="918976314">
              <w:marLeft w:val="0"/>
              <w:marRight w:val="0"/>
              <w:marTop w:val="0"/>
              <w:marBottom w:val="187"/>
              <w:divBdr>
                <w:top w:val="single" w:sz="8" w:space="9" w:color="CDCCD7"/>
                <w:left w:val="single" w:sz="8" w:space="9" w:color="CDCCD7"/>
                <w:bottom w:val="single" w:sz="8" w:space="9" w:color="CDCCD7"/>
                <w:right w:val="single" w:sz="8" w:space="9" w:color="CDCCD7"/>
              </w:divBdr>
              <w:divsChild>
                <w:div w:id="6534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0883">
      <w:bodyDiv w:val="1"/>
      <w:marLeft w:val="0"/>
      <w:marRight w:val="0"/>
      <w:marTop w:val="0"/>
      <w:marBottom w:val="0"/>
      <w:divBdr>
        <w:top w:val="none" w:sz="0" w:space="0" w:color="auto"/>
        <w:left w:val="none" w:sz="0" w:space="0" w:color="auto"/>
        <w:bottom w:val="none" w:sz="0" w:space="0" w:color="auto"/>
        <w:right w:val="none" w:sz="0" w:space="0" w:color="auto"/>
      </w:divBdr>
      <w:divsChild>
        <w:div w:id="440875316">
          <w:marLeft w:val="0"/>
          <w:marRight w:val="0"/>
          <w:marTop w:val="0"/>
          <w:marBottom w:val="0"/>
          <w:divBdr>
            <w:top w:val="none" w:sz="0" w:space="0" w:color="auto"/>
            <w:left w:val="none" w:sz="0" w:space="0" w:color="auto"/>
            <w:bottom w:val="none" w:sz="0" w:space="0" w:color="auto"/>
            <w:right w:val="none" w:sz="0" w:space="0" w:color="auto"/>
          </w:divBdr>
          <w:divsChild>
            <w:div w:id="175459818">
              <w:marLeft w:val="0"/>
              <w:marRight w:val="0"/>
              <w:marTop w:val="0"/>
              <w:marBottom w:val="0"/>
              <w:divBdr>
                <w:top w:val="none" w:sz="0" w:space="0" w:color="auto"/>
                <w:left w:val="none" w:sz="0" w:space="0" w:color="auto"/>
                <w:bottom w:val="none" w:sz="0" w:space="0" w:color="auto"/>
                <w:right w:val="none" w:sz="0" w:space="0" w:color="auto"/>
              </w:divBdr>
              <w:divsChild>
                <w:div w:id="907811789">
                  <w:marLeft w:val="0"/>
                  <w:marRight w:val="0"/>
                  <w:marTop w:val="0"/>
                  <w:marBottom w:val="0"/>
                  <w:divBdr>
                    <w:top w:val="none" w:sz="0" w:space="0" w:color="auto"/>
                    <w:left w:val="none" w:sz="0" w:space="0" w:color="auto"/>
                    <w:bottom w:val="single" w:sz="8" w:space="19" w:color="DDDDDD"/>
                    <w:right w:val="none" w:sz="0" w:space="0" w:color="auto"/>
                  </w:divBdr>
                  <w:divsChild>
                    <w:div w:id="9997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3283">
      <w:bodyDiv w:val="1"/>
      <w:marLeft w:val="0"/>
      <w:marRight w:val="0"/>
      <w:marTop w:val="0"/>
      <w:marBottom w:val="0"/>
      <w:divBdr>
        <w:top w:val="none" w:sz="0" w:space="0" w:color="auto"/>
        <w:left w:val="none" w:sz="0" w:space="0" w:color="auto"/>
        <w:bottom w:val="none" w:sz="0" w:space="0" w:color="auto"/>
        <w:right w:val="none" w:sz="0" w:space="0" w:color="auto"/>
      </w:divBdr>
      <w:divsChild>
        <w:div w:id="533731627">
          <w:marLeft w:val="0"/>
          <w:marRight w:val="0"/>
          <w:marTop w:val="0"/>
          <w:marBottom w:val="0"/>
          <w:divBdr>
            <w:top w:val="single" w:sz="8" w:space="11" w:color="CDCCD7"/>
            <w:left w:val="none" w:sz="0" w:space="0" w:color="auto"/>
            <w:bottom w:val="none" w:sz="0" w:space="0" w:color="auto"/>
            <w:right w:val="none" w:sz="0" w:space="0" w:color="auto"/>
          </w:divBdr>
          <w:divsChild>
            <w:div w:id="1951356835">
              <w:marLeft w:val="0"/>
              <w:marRight w:val="0"/>
              <w:marTop w:val="0"/>
              <w:marBottom w:val="215"/>
              <w:divBdr>
                <w:top w:val="single" w:sz="8" w:space="11" w:color="CDCCD7"/>
                <w:left w:val="single" w:sz="8" w:space="11" w:color="CDCCD7"/>
                <w:bottom w:val="single" w:sz="8" w:space="11" w:color="CDCCD7"/>
                <w:right w:val="single" w:sz="8" w:space="11" w:color="CDCCD7"/>
              </w:divBdr>
              <w:divsChild>
                <w:div w:id="1981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8385">
      <w:bodyDiv w:val="1"/>
      <w:marLeft w:val="0"/>
      <w:marRight w:val="0"/>
      <w:marTop w:val="0"/>
      <w:marBottom w:val="0"/>
      <w:divBdr>
        <w:top w:val="none" w:sz="0" w:space="0" w:color="auto"/>
        <w:left w:val="none" w:sz="0" w:space="0" w:color="auto"/>
        <w:bottom w:val="none" w:sz="0" w:space="0" w:color="auto"/>
        <w:right w:val="none" w:sz="0" w:space="0" w:color="auto"/>
      </w:divBdr>
    </w:div>
    <w:div w:id="698243879">
      <w:bodyDiv w:val="1"/>
      <w:marLeft w:val="0"/>
      <w:marRight w:val="0"/>
      <w:marTop w:val="0"/>
      <w:marBottom w:val="0"/>
      <w:divBdr>
        <w:top w:val="none" w:sz="0" w:space="0" w:color="auto"/>
        <w:left w:val="none" w:sz="0" w:space="0" w:color="auto"/>
        <w:bottom w:val="none" w:sz="0" w:space="0" w:color="auto"/>
        <w:right w:val="none" w:sz="0" w:space="0" w:color="auto"/>
      </w:divBdr>
      <w:divsChild>
        <w:div w:id="958103262">
          <w:marLeft w:val="0"/>
          <w:marRight w:val="0"/>
          <w:marTop w:val="0"/>
          <w:marBottom w:val="0"/>
          <w:divBdr>
            <w:top w:val="none" w:sz="0" w:space="0" w:color="auto"/>
            <w:left w:val="none" w:sz="0" w:space="0" w:color="auto"/>
            <w:bottom w:val="none" w:sz="0" w:space="0" w:color="auto"/>
            <w:right w:val="none" w:sz="0" w:space="0" w:color="auto"/>
          </w:divBdr>
          <w:divsChild>
            <w:div w:id="2129200720">
              <w:marLeft w:val="0"/>
              <w:marRight w:val="0"/>
              <w:marTop w:val="0"/>
              <w:marBottom w:val="0"/>
              <w:divBdr>
                <w:top w:val="none" w:sz="0" w:space="0" w:color="auto"/>
                <w:left w:val="none" w:sz="0" w:space="0" w:color="auto"/>
                <w:bottom w:val="none" w:sz="0" w:space="0" w:color="auto"/>
                <w:right w:val="none" w:sz="0" w:space="0" w:color="auto"/>
              </w:divBdr>
              <w:divsChild>
                <w:div w:id="1743678128">
                  <w:marLeft w:val="0"/>
                  <w:marRight w:val="0"/>
                  <w:marTop w:val="0"/>
                  <w:marBottom w:val="0"/>
                  <w:divBdr>
                    <w:top w:val="none" w:sz="0" w:space="0" w:color="auto"/>
                    <w:left w:val="none" w:sz="0" w:space="0" w:color="auto"/>
                    <w:bottom w:val="none" w:sz="0" w:space="0" w:color="auto"/>
                    <w:right w:val="none" w:sz="0" w:space="0" w:color="auto"/>
                  </w:divBdr>
                  <w:divsChild>
                    <w:div w:id="1146094985">
                      <w:marLeft w:val="0"/>
                      <w:marRight w:val="0"/>
                      <w:marTop w:val="0"/>
                      <w:marBottom w:val="0"/>
                      <w:divBdr>
                        <w:top w:val="none" w:sz="0" w:space="0" w:color="auto"/>
                        <w:left w:val="none" w:sz="0" w:space="0" w:color="auto"/>
                        <w:bottom w:val="none" w:sz="0" w:space="0" w:color="auto"/>
                        <w:right w:val="none" w:sz="0" w:space="0" w:color="auto"/>
                      </w:divBdr>
                      <w:divsChild>
                        <w:div w:id="474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527841">
      <w:bodyDiv w:val="1"/>
      <w:marLeft w:val="0"/>
      <w:marRight w:val="0"/>
      <w:marTop w:val="0"/>
      <w:marBottom w:val="0"/>
      <w:divBdr>
        <w:top w:val="none" w:sz="0" w:space="0" w:color="auto"/>
        <w:left w:val="none" w:sz="0" w:space="0" w:color="auto"/>
        <w:bottom w:val="none" w:sz="0" w:space="0" w:color="auto"/>
        <w:right w:val="none" w:sz="0" w:space="0" w:color="auto"/>
      </w:divBdr>
      <w:divsChild>
        <w:div w:id="1877156587">
          <w:marLeft w:val="0"/>
          <w:marRight w:val="0"/>
          <w:marTop w:val="0"/>
          <w:marBottom w:val="0"/>
          <w:divBdr>
            <w:top w:val="none" w:sz="0" w:space="0" w:color="auto"/>
            <w:left w:val="none" w:sz="0" w:space="0" w:color="auto"/>
            <w:bottom w:val="none" w:sz="0" w:space="0" w:color="auto"/>
            <w:right w:val="none" w:sz="0" w:space="0" w:color="auto"/>
          </w:divBdr>
          <w:divsChild>
            <w:div w:id="1166364991">
              <w:marLeft w:val="0"/>
              <w:marRight w:val="0"/>
              <w:marTop w:val="0"/>
              <w:marBottom w:val="0"/>
              <w:divBdr>
                <w:top w:val="none" w:sz="0" w:space="0" w:color="auto"/>
                <w:left w:val="none" w:sz="0" w:space="0" w:color="auto"/>
                <w:bottom w:val="none" w:sz="0" w:space="0" w:color="auto"/>
                <w:right w:val="none" w:sz="0" w:space="0" w:color="auto"/>
              </w:divBdr>
              <w:divsChild>
                <w:div w:id="1039016060">
                  <w:marLeft w:val="0"/>
                  <w:marRight w:val="0"/>
                  <w:marTop w:val="0"/>
                  <w:marBottom w:val="0"/>
                  <w:divBdr>
                    <w:top w:val="none" w:sz="0" w:space="0" w:color="auto"/>
                    <w:left w:val="none" w:sz="0" w:space="0" w:color="auto"/>
                    <w:bottom w:val="none" w:sz="0" w:space="0" w:color="auto"/>
                    <w:right w:val="none" w:sz="0" w:space="0" w:color="auto"/>
                  </w:divBdr>
                  <w:divsChild>
                    <w:div w:id="755250952">
                      <w:marLeft w:val="0"/>
                      <w:marRight w:val="0"/>
                      <w:marTop w:val="0"/>
                      <w:marBottom w:val="0"/>
                      <w:divBdr>
                        <w:top w:val="none" w:sz="0" w:space="0" w:color="auto"/>
                        <w:left w:val="none" w:sz="0" w:space="0" w:color="auto"/>
                        <w:bottom w:val="none" w:sz="0" w:space="0" w:color="auto"/>
                        <w:right w:val="none" w:sz="0" w:space="0" w:color="auto"/>
                      </w:divBdr>
                      <w:divsChild>
                        <w:div w:id="853883872">
                          <w:marLeft w:val="0"/>
                          <w:marRight w:val="0"/>
                          <w:marTop w:val="0"/>
                          <w:marBottom w:val="0"/>
                          <w:divBdr>
                            <w:top w:val="none" w:sz="0" w:space="0" w:color="auto"/>
                            <w:left w:val="none" w:sz="0" w:space="0" w:color="auto"/>
                            <w:bottom w:val="none" w:sz="0" w:space="0" w:color="auto"/>
                            <w:right w:val="none" w:sz="0" w:space="0" w:color="auto"/>
                          </w:divBdr>
                          <w:divsChild>
                            <w:div w:id="942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5901">
      <w:bodyDiv w:val="1"/>
      <w:marLeft w:val="0"/>
      <w:marRight w:val="0"/>
      <w:marTop w:val="0"/>
      <w:marBottom w:val="0"/>
      <w:divBdr>
        <w:top w:val="none" w:sz="0" w:space="0" w:color="auto"/>
        <w:left w:val="none" w:sz="0" w:space="0" w:color="auto"/>
        <w:bottom w:val="none" w:sz="0" w:space="0" w:color="auto"/>
        <w:right w:val="none" w:sz="0" w:space="0" w:color="auto"/>
      </w:divBdr>
    </w:div>
    <w:div w:id="719939557">
      <w:bodyDiv w:val="1"/>
      <w:marLeft w:val="0"/>
      <w:marRight w:val="0"/>
      <w:marTop w:val="0"/>
      <w:marBottom w:val="0"/>
      <w:divBdr>
        <w:top w:val="none" w:sz="0" w:space="0" w:color="auto"/>
        <w:left w:val="none" w:sz="0" w:space="0" w:color="auto"/>
        <w:bottom w:val="none" w:sz="0" w:space="0" w:color="auto"/>
        <w:right w:val="none" w:sz="0" w:space="0" w:color="auto"/>
      </w:divBdr>
      <w:divsChild>
        <w:div w:id="1123305591">
          <w:marLeft w:val="0"/>
          <w:marRight w:val="0"/>
          <w:marTop w:val="0"/>
          <w:marBottom w:val="0"/>
          <w:divBdr>
            <w:top w:val="none" w:sz="0" w:space="0" w:color="auto"/>
            <w:left w:val="none" w:sz="0" w:space="0" w:color="auto"/>
            <w:bottom w:val="none" w:sz="0" w:space="0" w:color="auto"/>
            <w:right w:val="none" w:sz="0" w:space="0" w:color="auto"/>
          </w:divBdr>
          <w:divsChild>
            <w:div w:id="1556626324">
              <w:marLeft w:val="0"/>
              <w:marRight w:val="0"/>
              <w:marTop w:val="0"/>
              <w:marBottom w:val="0"/>
              <w:divBdr>
                <w:top w:val="none" w:sz="0" w:space="0" w:color="auto"/>
                <w:left w:val="none" w:sz="0" w:space="0" w:color="auto"/>
                <w:bottom w:val="none" w:sz="0" w:space="0" w:color="auto"/>
                <w:right w:val="none" w:sz="0" w:space="0" w:color="auto"/>
              </w:divBdr>
              <w:divsChild>
                <w:div w:id="57368912">
                  <w:marLeft w:val="0"/>
                  <w:marRight w:val="0"/>
                  <w:marTop w:val="0"/>
                  <w:marBottom w:val="0"/>
                  <w:divBdr>
                    <w:top w:val="none" w:sz="0" w:space="0" w:color="auto"/>
                    <w:left w:val="none" w:sz="0" w:space="0" w:color="auto"/>
                    <w:bottom w:val="none" w:sz="0" w:space="0" w:color="auto"/>
                    <w:right w:val="none" w:sz="0" w:space="0" w:color="auto"/>
                  </w:divBdr>
                  <w:divsChild>
                    <w:div w:id="479151506">
                      <w:marLeft w:val="0"/>
                      <w:marRight w:val="0"/>
                      <w:marTop w:val="0"/>
                      <w:marBottom w:val="0"/>
                      <w:divBdr>
                        <w:top w:val="none" w:sz="0" w:space="0" w:color="auto"/>
                        <w:left w:val="none" w:sz="0" w:space="0" w:color="auto"/>
                        <w:bottom w:val="none" w:sz="0" w:space="0" w:color="auto"/>
                        <w:right w:val="none" w:sz="0" w:space="0" w:color="auto"/>
                      </w:divBdr>
                      <w:divsChild>
                        <w:div w:id="14860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96471">
      <w:bodyDiv w:val="1"/>
      <w:marLeft w:val="0"/>
      <w:marRight w:val="0"/>
      <w:marTop w:val="0"/>
      <w:marBottom w:val="0"/>
      <w:divBdr>
        <w:top w:val="none" w:sz="0" w:space="0" w:color="auto"/>
        <w:left w:val="none" w:sz="0" w:space="0" w:color="auto"/>
        <w:bottom w:val="none" w:sz="0" w:space="0" w:color="auto"/>
        <w:right w:val="none" w:sz="0" w:space="0" w:color="auto"/>
      </w:divBdr>
    </w:div>
    <w:div w:id="753665768">
      <w:bodyDiv w:val="1"/>
      <w:marLeft w:val="0"/>
      <w:marRight w:val="0"/>
      <w:marTop w:val="0"/>
      <w:marBottom w:val="0"/>
      <w:divBdr>
        <w:top w:val="none" w:sz="0" w:space="0" w:color="auto"/>
        <w:left w:val="none" w:sz="0" w:space="0" w:color="auto"/>
        <w:bottom w:val="none" w:sz="0" w:space="0" w:color="auto"/>
        <w:right w:val="none" w:sz="0" w:space="0" w:color="auto"/>
      </w:divBdr>
      <w:divsChild>
        <w:div w:id="1199705470">
          <w:marLeft w:val="0"/>
          <w:marRight w:val="0"/>
          <w:marTop w:val="0"/>
          <w:marBottom w:val="0"/>
          <w:divBdr>
            <w:top w:val="none" w:sz="0" w:space="0" w:color="auto"/>
            <w:left w:val="none" w:sz="0" w:space="0" w:color="auto"/>
            <w:bottom w:val="none" w:sz="0" w:space="0" w:color="auto"/>
            <w:right w:val="none" w:sz="0" w:space="0" w:color="auto"/>
          </w:divBdr>
          <w:divsChild>
            <w:div w:id="1918401183">
              <w:marLeft w:val="0"/>
              <w:marRight w:val="0"/>
              <w:marTop w:val="0"/>
              <w:marBottom w:val="0"/>
              <w:divBdr>
                <w:top w:val="none" w:sz="0" w:space="0" w:color="auto"/>
                <w:left w:val="none" w:sz="0" w:space="0" w:color="auto"/>
                <w:bottom w:val="none" w:sz="0" w:space="0" w:color="auto"/>
                <w:right w:val="none" w:sz="0" w:space="0" w:color="auto"/>
              </w:divBdr>
              <w:divsChild>
                <w:div w:id="516579411">
                  <w:marLeft w:val="0"/>
                  <w:marRight w:val="0"/>
                  <w:marTop w:val="0"/>
                  <w:marBottom w:val="0"/>
                  <w:divBdr>
                    <w:top w:val="none" w:sz="0" w:space="0" w:color="auto"/>
                    <w:left w:val="none" w:sz="0" w:space="0" w:color="auto"/>
                    <w:bottom w:val="none" w:sz="0" w:space="0" w:color="auto"/>
                    <w:right w:val="none" w:sz="0" w:space="0" w:color="auto"/>
                  </w:divBdr>
                  <w:divsChild>
                    <w:div w:id="1888878876">
                      <w:marLeft w:val="0"/>
                      <w:marRight w:val="0"/>
                      <w:marTop w:val="0"/>
                      <w:marBottom w:val="0"/>
                      <w:divBdr>
                        <w:top w:val="none" w:sz="0" w:space="0" w:color="auto"/>
                        <w:left w:val="none" w:sz="0" w:space="0" w:color="auto"/>
                        <w:bottom w:val="none" w:sz="0" w:space="0" w:color="auto"/>
                        <w:right w:val="none" w:sz="0" w:space="0" w:color="auto"/>
                      </w:divBdr>
                      <w:divsChild>
                        <w:div w:id="273296023">
                          <w:marLeft w:val="0"/>
                          <w:marRight w:val="0"/>
                          <w:marTop w:val="0"/>
                          <w:marBottom w:val="0"/>
                          <w:divBdr>
                            <w:top w:val="none" w:sz="0" w:space="0" w:color="auto"/>
                            <w:left w:val="none" w:sz="0" w:space="0" w:color="auto"/>
                            <w:bottom w:val="none" w:sz="0" w:space="0" w:color="auto"/>
                            <w:right w:val="none" w:sz="0" w:space="0" w:color="auto"/>
                          </w:divBdr>
                          <w:divsChild>
                            <w:div w:id="155534351">
                              <w:marLeft w:val="0"/>
                              <w:marRight w:val="0"/>
                              <w:marTop w:val="0"/>
                              <w:marBottom w:val="0"/>
                              <w:divBdr>
                                <w:top w:val="none" w:sz="0" w:space="0" w:color="auto"/>
                                <w:left w:val="none" w:sz="0" w:space="0" w:color="auto"/>
                                <w:bottom w:val="none" w:sz="0" w:space="0" w:color="auto"/>
                                <w:right w:val="none" w:sz="0" w:space="0" w:color="auto"/>
                              </w:divBdr>
                              <w:divsChild>
                                <w:div w:id="5065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64071">
      <w:bodyDiv w:val="1"/>
      <w:marLeft w:val="0"/>
      <w:marRight w:val="0"/>
      <w:marTop w:val="0"/>
      <w:marBottom w:val="0"/>
      <w:divBdr>
        <w:top w:val="none" w:sz="0" w:space="0" w:color="auto"/>
        <w:left w:val="none" w:sz="0" w:space="0" w:color="auto"/>
        <w:bottom w:val="none" w:sz="0" w:space="0" w:color="auto"/>
        <w:right w:val="none" w:sz="0" w:space="0" w:color="auto"/>
      </w:divBdr>
    </w:div>
    <w:div w:id="789317840">
      <w:bodyDiv w:val="1"/>
      <w:marLeft w:val="0"/>
      <w:marRight w:val="0"/>
      <w:marTop w:val="0"/>
      <w:marBottom w:val="0"/>
      <w:divBdr>
        <w:top w:val="none" w:sz="0" w:space="0" w:color="auto"/>
        <w:left w:val="none" w:sz="0" w:space="0" w:color="auto"/>
        <w:bottom w:val="none" w:sz="0" w:space="0" w:color="auto"/>
        <w:right w:val="none" w:sz="0" w:space="0" w:color="auto"/>
      </w:divBdr>
      <w:divsChild>
        <w:div w:id="808009680">
          <w:marLeft w:val="0"/>
          <w:marRight w:val="0"/>
          <w:marTop w:val="0"/>
          <w:marBottom w:val="0"/>
          <w:divBdr>
            <w:top w:val="single" w:sz="8" w:space="9" w:color="CDCCD7"/>
            <w:left w:val="none" w:sz="0" w:space="0" w:color="auto"/>
            <w:bottom w:val="none" w:sz="0" w:space="0" w:color="auto"/>
            <w:right w:val="none" w:sz="0" w:space="0" w:color="auto"/>
          </w:divBdr>
          <w:divsChild>
            <w:div w:id="1686783022">
              <w:marLeft w:val="0"/>
              <w:marRight w:val="0"/>
              <w:marTop w:val="0"/>
              <w:marBottom w:val="187"/>
              <w:divBdr>
                <w:top w:val="single" w:sz="8" w:space="9" w:color="CDCCD7"/>
                <w:left w:val="single" w:sz="8" w:space="9" w:color="CDCCD7"/>
                <w:bottom w:val="single" w:sz="8" w:space="9" w:color="CDCCD7"/>
                <w:right w:val="single" w:sz="8" w:space="9" w:color="CDCCD7"/>
              </w:divBdr>
              <w:divsChild>
                <w:div w:id="15550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928">
      <w:bodyDiv w:val="1"/>
      <w:marLeft w:val="0"/>
      <w:marRight w:val="0"/>
      <w:marTop w:val="0"/>
      <w:marBottom w:val="0"/>
      <w:divBdr>
        <w:top w:val="none" w:sz="0" w:space="0" w:color="auto"/>
        <w:left w:val="none" w:sz="0" w:space="0" w:color="auto"/>
        <w:bottom w:val="none" w:sz="0" w:space="0" w:color="auto"/>
        <w:right w:val="none" w:sz="0" w:space="0" w:color="auto"/>
      </w:divBdr>
    </w:div>
    <w:div w:id="836385058">
      <w:bodyDiv w:val="1"/>
      <w:marLeft w:val="0"/>
      <w:marRight w:val="0"/>
      <w:marTop w:val="0"/>
      <w:marBottom w:val="0"/>
      <w:divBdr>
        <w:top w:val="none" w:sz="0" w:space="0" w:color="auto"/>
        <w:left w:val="none" w:sz="0" w:space="0" w:color="auto"/>
        <w:bottom w:val="none" w:sz="0" w:space="0" w:color="auto"/>
        <w:right w:val="none" w:sz="0" w:space="0" w:color="auto"/>
      </w:divBdr>
      <w:divsChild>
        <w:div w:id="2038387415">
          <w:marLeft w:val="0"/>
          <w:marRight w:val="0"/>
          <w:marTop w:val="0"/>
          <w:marBottom w:val="0"/>
          <w:divBdr>
            <w:top w:val="none" w:sz="0" w:space="0" w:color="auto"/>
            <w:left w:val="none" w:sz="0" w:space="0" w:color="auto"/>
            <w:bottom w:val="none" w:sz="0" w:space="0" w:color="auto"/>
            <w:right w:val="none" w:sz="0" w:space="0" w:color="auto"/>
          </w:divBdr>
          <w:divsChild>
            <w:div w:id="232011970">
              <w:marLeft w:val="0"/>
              <w:marRight w:val="0"/>
              <w:marTop w:val="0"/>
              <w:marBottom w:val="0"/>
              <w:divBdr>
                <w:top w:val="none" w:sz="0" w:space="0" w:color="auto"/>
                <w:left w:val="none" w:sz="0" w:space="0" w:color="auto"/>
                <w:bottom w:val="none" w:sz="0" w:space="0" w:color="auto"/>
                <w:right w:val="none" w:sz="0" w:space="0" w:color="auto"/>
              </w:divBdr>
              <w:divsChild>
                <w:div w:id="1881286008">
                  <w:marLeft w:val="0"/>
                  <w:marRight w:val="0"/>
                  <w:marTop w:val="0"/>
                  <w:marBottom w:val="0"/>
                  <w:divBdr>
                    <w:top w:val="none" w:sz="0" w:space="0" w:color="auto"/>
                    <w:left w:val="none" w:sz="0" w:space="0" w:color="auto"/>
                    <w:bottom w:val="none" w:sz="0" w:space="0" w:color="auto"/>
                    <w:right w:val="none" w:sz="0" w:space="0" w:color="auto"/>
                  </w:divBdr>
                  <w:divsChild>
                    <w:div w:id="833884548">
                      <w:marLeft w:val="0"/>
                      <w:marRight w:val="0"/>
                      <w:marTop w:val="0"/>
                      <w:marBottom w:val="0"/>
                      <w:divBdr>
                        <w:top w:val="none" w:sz="0" w:space="0" w:color="auto"/>
                        <w:left w:val="none" w:sz="0" w:space="0" w:color="auto"/>
                        <w:bottom w:val="none" w:sz="0" w:space="0" w:color="auto"/>
                        <w:right w:val="none" w:sz="0" w:space="0" w:color="auto"/>
                      </w:divBdr>
                      <w:divsChild>
                        <w:div w:id="169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90661">
      <w:bodyDiv w:val="1"/>
      <w:marLeft w:val="0"/>
      <w:marRight w:val="0"/>
      <w:marTop w:val="0"/>
      <w:marBottom w:val="0"/>
      <w:divBdr>
        <w:top w:val="none" w:sz="0" w:space="0" w:color="auto"/>
        <w:left w:val="none" w:sz="0" w:space="0" w:color="auto"/>
        <w:bottom w:val="none" w:sz="0" w:space="0" w:color="auto"/>
        <w:right w:val="none" w:sz="0" w:space="0" w:color="auto"/>
      </w:divBdr>
      <w:divsChild>
        <w:div w:id="1431506052">
          <w:marLeft w:val="0"/>
          <w:marRight w:val="0"/>
          <w:marTop w:val="0"/>
          <w:marBottom w:val="0"/>
          <w:divBdr>
            <w:top w:val="none" w:sz="0" w:space="0" w:color="auto"/>
            <w:left w:val="none" w:sz="0" w:space="0" w:color="auto"/>
            <w:bottom w:val="none" w:sz="0" w:space="0" w:color="auto"/>
            <w:right w:val="none" w:sz="0" w:space="0" w:color="auto"/>
          </w:divBdr>
          <w:divsChild>
            <w:div w:id="920220135">
              <w:marLeft w:val="0"/>
              <w:marRight w:val="0"/>
              <w:marTop w:val="0"/>
              <w:marBottom w:val="0"/>
              <w:divBdr>
                <w:top w:val="none" w:sz="0" w:space="0" w:color="auto"/>
                <w:left w:val="none" w:sz="0" w:space="0" w:color="auto"/>
                <w:bottom w:val="none" w:sz="0" w:space="0" w:color="auto"/>
                <w:right w:val="none" w:sz="0" w:space="0" w:color="auto"/>
              </w:divBdr>
              <w:divsChild>
                <w:div w:id="144778898">
                  <w:marLeft w:val="0"/>
                  <w:marRight w:val="0"/>
                  <w:marTop w:val="0"/>
                  <w:marBottom w:val="0"/>
                  <w:divBdr>
                    <w:top w:val="none" w:sz="0" w:space="0" w:color="auto"/>
                    <w:left w:val="none" w:sz="0" w:space="0" w:color="auto"/>
                    <w:bottom w:val="none" w:sz="0" w:space="0" w:color="auto"/>
                    <w:right w:val="none" w:sz="0" w:space="0" w:color="auto"/>
                  </w:divBdr>
                  <w:divsChild>
                    <w:div w:id="1030644940">
                      <w:marLeft w:val="0"/>
                      <w:marRight w:val="0"/>
                      <w:marTop w:val="0"/>
                      <w:marBottom w:val="0"/>
                      <w:divBdr>
                        <w:top w:val="none" w:sz="0" w:space="0" w:color="auto"/>
                        <w:left w:val="none" w:sz="0" w:space="0" w:color="auto"/>
                        <w:bottom w:val="none" w:sz="0" w:space="0" w:color="auto"/>
                        <w:right w:val="none" w:sz="0" w:space="0" w:color="auto"/>
                      </w:divBdr>
                      <w:divsChild>
                        <w:div w:id="2116517585">
                          <w:marLeft w:val="0"/>
                          <w:marRight w:val="0"/>
                          <w:marTop w:val="0"/>
                          <w:marBottom w:val="0"/>
                          <w:divBdr>
                            <w:top w:val="none" w:sz="0" w:space="0" w:color="auto"/>
                            <w:left w:val="none" w:sz="0" w:space="0" w:color="auto"/>
                            <w:bottom w:val="none" w:sz="0" w:space="0" w:color="auto"/>
                            <w:right w:val="none" w:sz="0" w:space="0" w:color="auto"/>
                          </w:divBdr>
                          <w:divsChild>
                            <w:div w:id="1257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701170">
      <w:bodyDiv w:val="1"/>
      <w:marLeft w:val="0"/>
      <w:marRight w:val="0"/>
      <w:marTop w:val="0"/>
      <w:marBottom w:val="0"/>
      <w:divBdr>
        <w:top w:val="none" w:sz="0" w:space="0" w:color="auto"/>
        <w:left w:val="none" w:sz="0" w:space="0" w:color="auto"/>
        <w:bottom w:val="none" w:sz="0" w:space="0" w:color="auto"/>
        <w:right w:val="none" w:sz="0" w:space="0" w:color="auto"/>
      </w:divBdr>
    </w:div>
    <w:div w:id="1144198421">
      <w:bodyDiv w:val="1"/>
      <w:marLeft w:val="0"/>
      <w:marRight w:val="0"/>
      <w:marTop w:val="0"/>
      <w:marBottom w:val="0"/>
      <w:divBdr>
        <w:top w:val="none" w:sz="0" w:space="0" w:color="auto"/>
        <w:left w:val="none" w:sz="0" w:space="0" w:color="auto"/>
        <w:bottom w:val="none" w:sz="0" w:space="0" w:color="auto"/>
        <w:right w:val="none" w:sz="0" w:space="0" w:color="auto"/>
      </w:divBdr>
      <w:divsChild>
        <w:div w:id="942960986">
          <w:marLeft w:val="0"/>
          <w:marRight w:val="0"/>
          <w:marTop w:val="0"/>
          <w:marBottom w:val="0"/>
          <w:divBdr>
            <w:top w:val="single" w:sz="8" w:space="11" w:color="CDCCD7"/>
            <w:left w:val="none" w:sz="0" w:space="0" w:color="auto"/>
            <w:bottom w:val="none" w:sz="0" w:space="0" w:color="auto"/>
            <w:right w:val="none" w:sz="0" w:space="0" w:color="auto"/>
          </w:divBdr>
          <w:divsChild>
            <w:div w:id="982853493">
              <w:marLeft w:val="0"/>
              <w:marRight w:val="0"/>
              <w:marTop w:val="0"/>
              <w:marBottom w:val="215"/>
              <w:divBdr>
                <w:top w:val="single" w:sz="8" w:space="11" w:color="CDCCD7"/>
                <w:left w:val="single" w:sz="8" w:space="11" w:color="CDCCD7"/>
                <w:bottom w:val="single" w:sz="8" w:space="11" w:color="CDCCD7"/>
                <w:right w:val="single" w:sz="8" w:space="11" w:color="CDCCD7"/>
              </w:divBdr>
              <w:divsChild>
                <w:div w:id="1295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3608">
      <w:bodyDiv w:val="1"/>
      <w:marLeft w:val="0"/>
      <w:marRight w:val="0"/>
      <w:marTop w:val="0"/>
      <w:marBottom w:val="0"/>
      <w:divBdr>
        <w:top w:val="none" w:sz="0" w:space="0" w:color="auto"/>
        <w:left w:val="none" w:sz="0" w:space="0" w:color="auto"/>
        <w:bottom w:val="none" w:sz="0" w:space="0" w:color="auto"/>
        <w:right w:val="none" w:sz="0" w:space="0" w:color="auto"/>
      </w:divBdr>
      <w:divsChild>
        <w:div w:id="510411966">
          <w:marLeft w:val="0"/>
          <w:marRight w:val="0"/>
          <w:marTop w:val="0"/>
          <w:marBottom w:val="0"/>
          <w:divBdr>
            <w:top w:val="none" w:sz="0" w:space="0" w:color="auto"/>
            <w:left w:val="none" w:sz="0" w:space="0" w:color="auto"/>
            <w:bottom w:val="none" w:sz="0" w:space="0" w:color="auto"/>
            <w:right w:val="none" w:sz="0" w:space="0" w:color="auto"/>
          </w:divBdr>
          <w:divsChild>
            <w:div w:id="144904300">
              <w:marLeft w:val="0"/>
              <w:marRight w:val="0"/>
              <w:marTop w:val="0"/>
              <w:marBottom w:val="0"/>
              <w:divBdr>
                <w:top w:val="none" w:sz="0" w:space="0" w:color="auto"/>
                <w:left w:val="none" w:sz="0" w:space="0" w:color="auto"/>
                <w:bottom w:val="none" w:sz="0" w:space="0" w:color="auto"/>
                <w:right w:val="none" w:sz="0" w:space="0" w:color="auto"/>
              </w:divBdr>
              <w:divsChild>
                <w:div w:id="652757948">
                  <w:marLeft w:val="0"/>
                  <w:marRight w:val="0"/>
                  <w:marTop w:val="0"/>
                  <w:marBottom w:val="0"/>
                  <w:divBdr>
                    <w:top w:val="none" w:sz="0" w:space="0" w:color="auto"/>
                    <w:left w:val="none" w:sz="0" w:space="0" w:color="auto"/>
                    <w:bottom w:val="none" w:sz="0" w:space="0" w:color="auto"/>
                    <w:right w:val="none" w:sz="0" w:space="0" w:color="auto"/>
                  </w:divBdr>
                  <w:divsChild>
                    <w:div w:id="318577623">
                      <w:marLeft w:val="0"/>
                      <w:marRight w:val="0"/>
                      <w:marTop w:val="0"/>
                      <w:marBottom w:val="0"/>
                      <w:divBdr>
                        <w:top w:val="none" w:sz="0" w:space="0" w:color="auto"/>
                        <w:left w:val="none" w:sz="0" w:space="0" w:color="auto"/>
                        <w:bottom w:val="none" w:sz="0" w:space="0" w:color="auto"/>
                        <w:right w:val="none" w:sz="0" w:space="0" w:color="auto"/>
                      </w:divBdr>
                      <w:divsChild>
                        <w:div w:id="450437623">
                          <w:marLeft w:val="0"/>
                          <w:marRight w:val="0"/>
                          <w:marTop w:val="0"/>
                          <w:marBottom w:val="0"/>
                          <w:divBdr>
                            <w:top w:val="none" w:sz="0" w:space="0" w:color="auto"/>
                            <w:left w:val="none" w:sz="0" w:space="0" w:color="auto"/>
                            <w:bottom w:val="none" w:sz="0" w:space="0" w:color="auto"/>
                            <w:right w:val="none" w:sz="0" w:space="0" w:color="auto"/>
                          </w:divBdr>
                          <w:divsChild>
                            <w:div w:id="6730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5146">
      <w:bodyDiv w:val="1"/>
      <w:marLeft w:val="0"/>
      <w:marRight w:val="0"/>
      <w:marTop w:val="0"/>
      <w:marBottom w:val="0"/>
      <w:divBdr>
        <w:top w:val="none" w:sz="0" w:space="0" w:color="auto"/>
        <w:left w:val="none" w:sz="0" w:space="0" w:color="auto"/>
        <w:bottom w:val="none" w:sz="0" w:space="0" w:color="auto"/>
        <w:right w:val="none" w:sz="0" w:space="0" w:color="auto"/>
      </w:divBdr>
    </w:div>
    <w:div w:id="1245797829">
      <w:bodyDiv w:val="1"/>
      <w:marLeft w:val="0"/>
      <w:marRight w:val="0"/>
      <w:marTop w:val="0"/>
      <w:marBottom w:val="0"/>
      <w:divBdr>
        <w:top w:val="none" w:sz="0" w:space="0" w:color="auto"/>
        <w:left w:val="none" w:sz="0" w:space="0" w:color="auto"/>
        <w:bottom w:val="none" w:sz="0" w:space="0" w:color="auto"/>
        <w:right w:val="none" w:sz="0" w:space="0" w:color="auto"/>
      </w:divBdr>
    </w:div>
    <w:div w:id="1293052708">
      <w:bodyDiv w:val="1"/>
      <w:marLeft w:val="0"/>
      <w:marRight w:val="0"/>
      <w:marTop w:val="0"/>
      <w:marBottom w:val="0"/>
      <w:divBdr>
        <w:top w:val="none" w:sz="0" w:space="0" w:color="auto"/>
        <w:left w:val="none" w:sz="0" w:space="0" w:color="auto"/>
        <w:bottom w:val="none" w:sz="0" w:space="0" w:color="auto"/>
        <w:right w:val="none" w:sz="0" w:space="0" w:color="auto"/>
      </w:divBdr>
    </w:div>
    <w:div w:id="1295328809">
      <w:bodyDiv w:val="1"/>
      <w:marLeft w:val="0"/>
      <w:marRight w:val="0"/>
      <w:marTop w:val="0"/>
      <w:marBottom w:val="0"/>
      <w:divBdr>
        <w:top w:val="none" w:sz="0" w:space="0" w:color="auto"/>
        <w:left w:val="none" w:sz="0" w:space="0" w:color="auto"/>
        <w:bottom w:val="none" w:sz="0" w:space="0" w:color="auto"/>
        <w:right w:val="none" w:sz="0" w:space="0" w:color="auto"/>
      </w:divBdr>
      <w:divsChild>
        <w:div w:id="2079746277">
          <w:marLeft w:val="0"/>
          <w:marRight w:val="0"/>
          <w:marTop w:val="0"/>
          <w:marBottom w:val="0"/>
          <w:divBdr>
            <w:top w:val="none" w:sz="0" w:space="0" w:color="auto"/>
            <w:left w:val="none" w:sz="0" w:space="0" w:color="auto"/>
            <w:bottom w:val="none" w:sz="0" w:space="0" w:color="auto"/>
            <w:right w:val="none" w:sz="0" w:space="0" w:color="auto"/>
          </w:divBdr>
          <w:divsChild>
            <w:div w:id="586965275">
              <w:marLeft w:val="0"/>
              <w:marRight w:val="0"/>
              <w:marTop w:val="0"/>
              <w:marBottom w:val="0"/>
              <w:divBdr>
                <w:top w:val="none" w:sz="0" w:space="0" w:color="auto"/>
                <w:left w:val="none" w:sz="0" w:space="0" w:color="auto"/>
                <w:bottom w:val="none" w:sz="0" w:space="0" w:color="auto"/>
                <w:right w:val="none" w:sz="0" w:space="0" w:color="auto"/>
              </w:divBdr>
              <w:divsChild>
                <w:div w:id="523515882">
                  <w:marLeft w:val="0"/>
                  <w:marRight w:val="0"/>
                  <w:marTop w:val="0"/>
                  <w:marBottom w:val="0"/>
                  <w:divBdr>
                    <w:top w:val="none" w:sz="0" w:space="0" w:color="auto"/>
                    <w:left w:val="none" w:sz="0" w:space="0" w:color="auto"/>
                    <w:bottom w:val="none" w:sz="0" w:space="0" w:color="auto"/>
                    <w:right w:val="none" w:sz="0" w:space="0" w:color="auto"/>
                  </w:divBdr>
                  <w:divsChild>
                    <w:div w:id="553546747">
                      <w:marLeft w:val="0"/>
                      <w:marRight w:val="0"/>
                      <w:marTop w:val="0"/>
                      <w:marBottom w:val="0"/>
                      <w:divBdr>
                        <w:top w:val="none" w:sz="0" w:space="0" w:color="auto"/>
                        <w:left w:val="none" w:sz="0" w:space="0" w:color="auto"/>
                        <w:bottom w:val="none" w:sz="0" w:space="0" w:color="auto"/>
                        <w:right w:val="none" w:sz="0" w:space="0" w:color="auto"/>
                      </w:divBdr>
                      <w:divsChild>
                        <w:div w:id="380640272">
                          <w:marLeft w:val="0"/>
                          <w:marRight w:val="0"/>
                          <w:marTop w:val="0"/>
                          <w:marBottom w:val="0"/>
                          <w:divBdr>
                            <w:top w:val="none" w:sz="0" w:space="0" w:color="auto"/>
                            <w:left w:val="none" w:sz="0" w:space="0" w:color="auto"/>
                            <w:bottom w:val="none" w:sz="0" w:space="0" w:color="auto"/>
                            <w:right w:val="none" w:sz="0" w:space="0" w:color="auto"/>
                          </w:divBdr>
                          <w:divsChild>
                            <w:div w:id="1798252617">
                              <w:marLeft w:val="0"/>
                              <w:marRight w:val="0"/>
                              <w:marTop w:val="0"/>
                              <w:marBottom w:val="0"/>
                              <w:divBdr>
                                <w:top w:val="none" w:sz="0" w:space="0" w:color="auto"/>
                                <w:left w:val="none" w:sz="0" w:space="0" w:color="auto"/>
                                <w:bottom w:val="none" w:sz="0" w:space="0" w:color="auto"/>
                                <w:right w:val="none" w:sz="0" w:space="0" w:color="auto"/>
                              </w:divBdr>
                              <w:divsChild>
                                <w:div w:id="1252399622">
                                  <w:marLeft w:val="0"/>
                                  <w:marRight w:val="0"/>
                                  <w:marTop w:val="0"/>
                                  <w:marBottom w:val="0"/>
                                  <w:divBdr>
                                    <w:top w:val="none" w:sz="0" w:space="0" w:color="auto"/>
                                    <w:left w:val="none" w:sz="0" w:space="0" w:color="auto"/>
                                    <w:bottom w:val="none" w:sz="0" w:space="0" w:color="auto"/>
                                    <w:right w:val="none" w:sz="0" w:space="0" w:color="auto"/>
                                  </w:divBdr>
                                  <w:divsChild>
                                    <w:div w:id="321661947">
                                      <w:marLeft w:val="0"/>
                                      <w:marRight w:val="0"/>
                                      <w:marTop w:val="0"/>
                                      <w:marBottom w:val="0"/>
                                      <w:divBdr>
                                        <w:top w:val="none" w:sz="0" w:space="0" w:color="auto"/>
                                        <w:left w:val="none" w:sz="0" w:space="0" w:color="auto"/>
                                        <w:bottom w:val="none" w:sz="0" w:space="0" w:color="auto"/>
                                        <w:right w:val="none" w:sz="0" w:space="0" w:color="auto"/>
                                      </w:divBdr>
                                      <w:divsChild>
                                        <w:div w:id="21046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991978">
      <w:bodyDiv w:val="1"/>
      <w:marLeft w:val="0"/>
      <w:marRight w:val="0"/>
      <w:marTop w:val="0"/>
      <w:marBottom w:val="0"/>
      <w:divBdr>
        <w:top w:val="none" w:sz="0" w:space="0" w:color="auto"/>
        <w:left w:val="none" w:sz="0" w:space="0" w:color="auto"/>
        <w:bottom w:val="none" w:sz="0" w:space="0" w:color="auto"/>
        <w:right w:val="none" w:sz="0" w:space="0" w:color="auto"/>
      </w:divBdr>
    </w:div>
    <w:div w:id="1306885710">
      <w:bodyDiv w:val="1"/>
      <w:marLeft w:val="0"/>
      <w:marRight w:val="0"/>
      <w:marTop w:val="0"/>
      <w:marBottom w:val="0"/>
      <w:divBdr>
        <w:top w:val="none" w:sz="0" w:space="0" w:color="auto"/>
        <w:left w:val="none" w:sz="0" w:space="0" w:color="auto"/>
        <w:bottom w:val="none" w:sz="0" w:space="0" w:color="auto"/>
        <w:right w:val="none" w:sz="0" w:space="0" w:color="auto"/>
      </w:divBdr>
      <w:divsChild>
        <w:div w:id="951786810">
          <w:marLeft w:val="0"/>
          <w:marRight w:val="0"/>
          <w:marTop w:val="0"/>
          <w:marBottom w:val="0"/>
          <w:divBdr>
            <w:top w:val="none" w:sz="0" w:space="0" w:color="auto"/>
            <w:left w:val="none" w:sz="0" w:space="0" w:color="auto"/>
            <w:bottom w:val="none" w:sz="0" w:space="0" w:color="auto"/>
            <w:right w:val="none" w:sz="0" w:space="0" w:color="auto"/>
          </w:divBdr>
          <w:divsChild>
            <w:div w:id="878325751">
              <w:marLeft w:val="0"/>
              <w:marRight w:val="0"/>
              <w:marTop w:val="0"/>
              <w:marBottom w:val="0"/>
              <w:divBdr>
                <w:top w:val="none" w:sz="0" w:space="0" w:color="auto"/>
                <w:left w:val="none" w:sz="0" w:space="0" w:color="auto"/>
                <w:bottom w:val="none" w:sz="0" w:space="0" w:color="auto"/>
                <w:right w:val="none" w:sz="0" w:space="0" w:color="auto"/>
              </w:divBdr>
              <w:divsChild>
                <w:div w:id="1141380776">
                  <w:marLeft w:val="0"/>
                  <w:marRight w:val="0"/>
                  <w:marTop w:val="0"/>
                  <w:marBottom w:val="0"/>
                  <w:divBdr>
                    <w:top w:val="none" w:sz="0" w:space="0" w:color="auto"/>
                    <w:left w:val="none" w:sz="0" w:space="0" w:color="auto"/>
                    <w:bottom w:val="none" w:sz="0" w:space="0" w:color="auto"/>
                    <w:right w:val="none" w:sz="0" w:space="0" w:color="auto"/>
                  </w:divBdr>
                  <w:divsChild>
                    <w:div w:id="1080059156">
                      <w:marLeft w:val="0"/>
                      <w:marRight w:val="0"/>
                      <w:marTop w:val="0"/>
                      <w:marBottom w:val="0"/>
                      <w:divBdr>
                        <w:top w:val="none" w:sz="0" w:space="0" w:color="auto"/>
                        <w:left w:val="none" w:sz="0" w:space="0" w:color="auto"/>
                        <w:bottom w:val="none" w:sz="0" w:space="0" w:color="auto"/>
                        <w:right w:val="none" w:sz="0" w:space="0" w:color="auto"/>
                      </w:divBdr>
                      <w:divsChild>
                        <w:div w:id="651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50777">
      <w:bodyDiv w:val="1"/>
      <w:marLeft w:val="0"/>
      <w:marRight w:val="0"/>
      <w:marTop w:val="0"/>
      <w:marBottom w:val="0"/>
      <w:divBdr>
        <w:top w:val="none" w:sz="0" w:space="0" w:color="auto"/>
        <w:left w:val="none" w:sz="0" w:space="0" w:color="auto"/>
        <w:bottom w:val="none" w:sz="0" w:space="0" w:color="auto"/>
        <w:right w:val="none" w:sz="0" w:space="0" w:color="auto"/>
      </w:divBdr>
      <w:divsChild>
        <w:div w:id="168301591">
          <w:marLeft w:val="0"/>
          <w:marRight w:val="0"/>
          <w:marTop w:val="0"/>
          <w:marBottom w:val="0"/>
          <w:divBdr>
            <w:top w:val="single" w:sz="8" w:space="11" w:color="CDCCD7"/>
            <w:left w:val="none" w:sz="0" w:space="0" w:color="auto"/>
            <w:bottom w:val="none" w:sz="0" w:space="0" w:color="auto"/>
            <w:right w:val="none" w:sz="0" w:space="0" w:color="auto"/>
          </w:divBdr>
          <w:divsChild>
            <w:div w:id="2245497">
              <w:marLeft w:val="0"/>
              <w:marRight w:val="0"/>
              <w:marTop w:val="0"/>
              <w:marBottom w:val="215"/>
              <w:divBdr>
                <w:top w:val="single" w:sz="8" w:space="11" w:color="CDCCD7"/>
                <w:left w:val="single" w:sz="8" w:space="11" w:color="CDCCD7"/>
                <w:bottom w:val="single" w:sz="8" w:space="11" w:color="CDCCD7"/>
                <w:right w:val="single" w:sz="8" w:space="11" w:color="CDCCD7"/>
              </w:divBdr>
              <w:divsChild>
                <w:div w:id="1355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0394">
      <w:bodyDiv w:val="1"/>
      <w:marLeft w:val="0"/>
      <w:marRight w:val="0"/>
      <w:marTop w:val="0"/>
      <w:marBottom w:val="0"/>
      <w:divBdr>
        <w:top w:val="none" w:sz="0" w:space="0" w:color="auto"/>
        <w:left w:val="none" w:sz="0" w:space="0" w:color="auto"/>
        <w:bottom w:val="none" w:sz="0" w:space="0" w:color="auto"/>
        <w:right w:val="none" w:sz="0" w:space="0" w:color="auto"/>
      </w:divBdr>
      <w:divsChild>
        <w:div w:id="1270552199">
          <w:marLeft w:val="0"/>
          <w:marRight w:val="0"/>
          <w:marTop w:val="0"/>
          <w:marBottom w:val="0"/>
          <w:divBdr>
            <w:top w:val="none" w:sz="0" w:space="0" w:color="auto"/>
            <w:left w:val="none" w:sz="0" w:space="0" w:color="auto"/>
            <w:bottom w:val="none" w:sz="0" w:space="0" w:color="auto"/>
            <w:right w:val="none" w:sz="0" w:space="0" w:color="auto"/>
          </w:divBdr>
          <w:divsChild>
            <w:div w:id="500848711">
              <w:marLeft w:val="0"/>
              <w:marRight w:val="0"/>
              <w:marTop w:val="0"/>
              <w:marBottom w:val="0"/>
              <w:divBdr>
                <w:top w:val="none" w:sz="0" w:space="0" w:color="auto"/>
                <w:left w:val="none" w:sz="0" w:space="0" w:color="auto"/>
                <w:bottom w:val="none" w:sz="0" w:space="0" w:color="auto"/>
                <w:right w:val="none" w:sz="0" w:space="0" w:color="auto"/>
              </w:divBdr>
              <w:divsChild>
                <w:div w:id="328098734">
                  <w:marLeft w:val="0"/>
                  <w:marRight w:val="0"/>
                  <w:marTop w:val="0"/>
                  <w:marBottom w:val="0"/>
                  <w:divBdr>
                    <w:top w:val="none" w:sz="0" w:space="0" w:color="auto"/>
                    <w:left w:val="none" w:sz="0" w:space="0" w:color="auto"/>
                    <w:bottom w:val="none" w:sz="0" w:space="0" w:color="auto"/>
                    <w:right w:val="none" w:sz="0" w:space="0" w:color="auto"/>
                  </w:divBdr>
                  <w:divsChild>
                    <w:div w:id="1852600422">
                      <w:marLeft w:val="0"/>
                      <w:marRight w:val="0"/>
                      <w:marTop w:val="0"/>
                      <w:marBottom w:val="0"/>
                      <w:divBdr>
                        <w:top w:val="none" w:sz="0" w:space="0" w:color="auto"/>
                        <w:left w:val="none" w:sz="0" w:space="0" w:color="auto"/>
                        <w:bottom w:val="none" w:sz="0" w:space="0" w:color="auto"/>
                        <w:right w:val="none" w:sz="0" w:space="0" w:color="auto"/>
                      </w:divBdr>
                      <w:divsChild>
                        <w:div w:id="1891847073">
                          <w:marLeft w:val="0"/>
                          <w:marRight w:val="0"/>
                          <w:marTop w:val="0"/>
                          <w:marBottom w:val="0"/>
                          <w:divBdr>
                            <w:top w:val="none" w:sz="0" w:space="0" w:color="auto"/>
                            <w:left w:val="none" w:sz="0" w:space="0" w:color="auto"/>
                            <w:bottom w:val="none" w:sz="0" w:space="0" w:color="auto"/>
                            <w:right w:val="none" w:sz="0" w:space="0" w:color="auto"/>
                          </w:divBdr>
                          <w:divsChild>
                            <w:div w:id="10539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04103">
      <w:bodyDiv w:val="1"/>
      <w:marLeft w:val="0"/>
      <w:marRight w:val="0"/>
      <w:marTop w:val="0"/>
      <w:marBottom w:val="0"/>
      <w:divBdr>
        <w:top w:val="none" w:sz="0" w:space="0" w:color="auto"/>
        <w:left w:val="none" w:sz="0" w:space="0" w:color="auto"/>
        <w:bottom w:val="none" w:sz="0" w:space="0" w:color="auto"/>
        <w:right w:val="none" w:sz="0" w:space="0" w:color="auto"/>
      </w:divBdr>
    </w:div>
    <w:div w:id="1656030264">
      <w:bodyDiv w:val="1"/>
      <w:marLeft w:val="0"/>
      <w:marRight w:val="0"/>
      <w:marTop w:val="0"/>
      <w:marBottom w:val="0"/>
      <w:divBdr>
        <w:top w:val="none" w:sz="0" w:space="0" w:color="auto"/>
        <w:left w:val="none" w:sz="0" w:space="0" w:color="auto"/>
        <w:bottom w:val="none" w:sz="0" w:space="0" w:color="auto"/>
        <w:right w:val="none" w:sz="0" w:space="0" w:color="auto"/>
      </w:divBdr>
      <w:divsChild>
        <w:div w:id="571279500">
          <w:marLeft w:val="0"/>
          <w:marRight w:val="0"/>
          <w:marTop w:val="0"/>
          <w:marBottom w:val="0"/>
          <w:divBdr>
            <w:top w:val="single" w:sz="8" w:space="9" w:color="CDCCD7"/>
            <w:left w:val="none" w:sz="0" w:space="0" w:color="auto"/>
            <w:bottom w:val="none" w:sz="0" w:space="0" w:color="auto"/>
            <w:right w:val="none" w:sz="0" w:space="0" w:color="auto"/>
          </w:divBdr>
          <w:divsChild>
            <w:div w:id="1770923912">
              <w:marLeft w:val="0"/>
              <w:marRight w:val="0"/>
              <w:marTop w:val="0"/>
              <w:marBottom w:val="187"/>
              <w:divBdr>
                <w:top w:val="single" w:sz="8" w:space="9" w:color="CDCCD7"/>
                <w:left w:val="single" w:sz="8" w:space="9" w:color="CDCCD7"/>
                <w:bottom w:val="single" w:sz="8" w:space="9" w:color="CDCCD7"/>
                <w:right w:val="single" w:sz="8" w:space="9" w:color="CDCCD7"/>
              </w:divBdr>
              <w:divsChild>
                <w:div w:id="12812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98930">
      <w:bodyDiv w:val="1"/>
      <w:marLeft w:val="0"/>
      <w:marRight w:val="0"/>
      <w:marTop w:val="0"/>
      <w:marBottom w:val="0"/>
      <w:divBdr>
        <w:top w:val="none" w:sz="0" w:space="0" w:color="auto"/>
        <w:left w:val="none" w:sz="0" w:space="0" w:color="auto"/>
        <w:bottom w:val="none" w:sz="0" w:space="0" w:color="auto"/>
        <w:right w:val="none" w:sz="0" w:space="0" w:color="auto"/>
      </w:divBdr>
      <w:divsChild>
        <w:div w:id="2007783079">
          <w:marLeft w:val="0"/>
          <w:marRight w:val="0"/>
          <w:marTop w:val="0"/>
          <w:marBottom w:val="0"/>
          <w:divBdr>
            <w:top w:val="none" w:sz="0" w:space="0" w:color="auto"/>
            <w:left w:val="none" w:sz="0" w:space="0" w:color="auto"/>
            <w:bottom w:val="none" w:sz="0" w:space="0" w:color="auto"/>
            <w:right w:val="none" w:sz="0" w:space="0" w:color="auto"/>
          </w:divBdr>
          <w:divsChild>
            <w:div w:id="203952175">
              <w:marLeft w:val="0"/>
              <w:marRight w:val="0"/>
              <w:marTop w:val="0"/>
              <w:marBottom w:val="0"/>
              <w:divBdr>
                <w:top w:val="none" w:sz="0" w:space="0" w:color="auto"/>
                <w:left w:val="none" w:sz="0" w:space="0" w:color="auto"/>
                <w:bottom w:val="none" w:sz="0" w:space="0" w:color="auto"/>
                <w:right w:val="none" w:sz="0" w:space="0" w:color="auto"/>
              </w:divBdr>
              <w:divsChild>
                <w:div w:id="1200976904">
                  <w:marLeft w:val="0"/>
                  <w:marRight w:val="0"/>
                  <w:marTop w:val="0"/>
                  <w:marBottom w:val="0"/>
                  <w:divBdr>
                    <w:top w:val="none" w:sz="0" w:space="0" w:color="auto"/>
                    <w:left w:val="none" w:sz="0" w:space="0" w:color="auto"/>
                    <w:bottom w:val="none" w:sz="0" w:space="0" w:color="auto"/>
                    <w:right w:val="none" w:sz="0" w:space="0" w:color="auto"/>
                  </w:divBdr>
                  <w:divsChild>
                    <w:div w:id="838158910">
                      <w:marLeft w:val="0"/>
                      <w:marRight w:val="0"/>
                      <w:marTop w:val="0"/>
                      <w:marBottom w:val="0"/>
                      <w:divBdr>
                        <w:top w:val="none" w:sz="0" w:space="0" w:color="auto"/>
                        <w:left w:val="none" w:sz="0" w:space="0" w:color="auto"/>
                        <w:bottom w:val="none" w:sz="0" w:space="0" w:color="auto"/>
                        <w:right w:val="none" w:sz="0" w:space="0" w:color="auto"/>
                      </w:divBdr>
                      <w:divsChild>
                        <w:div w:id="1112044677">
                          <w:marLeft w:val="0"/>
                          <w:marRight w:val="0"/>
                          <w:marTop w:val="0"/>
                          <w:marBottom w:val="0"/>
                          <w:divBdr>
                            <w:top w:val="none" w:sz="0" w:space="0" w:color="auto"/>
                            <w:left w:val="none" w:sz="0" w:space="0" w:color="auto"/>
                            <w:bottom w:val="none" w:sz="0" w:space="0" w:color="auto"/>
                            <w:right w:val="none" w:sz="0" w:space="0" w:color="auto"/>
                          </w:divBdr>
                          <w:divsChild>
                            <w:div w:id="2051371431">
                              <w:marLeft w:val="0"/>
                              <w:marRight w:val="0"/>
                              <w:marTop w:val="0"/>
                              <w:marBottom w:val="0"/>
                              <w:divBdr>
                                <w:top w:val="none" w:sz="0" w:space="0" w:color="auto"/>
                                <w:left w:val="none" w:sz="0" w:space="0" w:color="auto"/>
                                <w:bottom w:val="none" w:sz="0" w:space="0" w:color="auto"/>
                                <w:right w:val="none" w:sz="0" w:space="0" w:color="auto"/>
                              </w:divBdr>
                              <w:divsChild>
                                <w:div w:id="10136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71604">
      <w:bodyDiv w:val="1"/>
      <w:marLeft w:val="0"/>
      <w:marRight w:val="0"/>
      <w:marTop w:val="0"/>
      <w:marBottom w:val="0"/>
      <w:divBdr>
        <w:top w:val="none" w:sz="0" w:space="0" w:color="auto"/>
        <w:left w:val="none" w:sz="0" w:space="0" w:color="auto"/>
        <w:bottom w:val="none" w:sz="0" w:space="0" w:color="auto"/>
        <w:right w:val="none" w:sz="0" w:space="0" w:color="auto"/>
      </w:divBdr>
      <w:divsChild>
        <w:div w:id="2082290978">
          <w:marLeft w:val="0"/>
          <w:marRight w:val="0"/>
          <w:marTop w:val="0"/>
          <w:marBottom w:val="0"/>
          <w:divBdr>
            <w:top w:val="none" w:sz="0" w:space="0" w:color="auto"/>
            <w:left w:val="none" w:sz="0" w:space="0" w:color="auto"/>
            <w:bottom w:val="none" w:sz="0" w:space="0" w:color="auto"/>
            <w:right w:val="none" w:sz="0" w:space="0" w:color="auto"/>
          </w:divBdr>
          <w:divsChild>
            <w:div w:id="1074279347">
              <w:marLeft w:val="0"/>
              <w:marRight w:val="0"/>
              <w:marTop w:val="0"/>
              <w:marBottom w:val="0"/>
              <w:divBdr>
                <w:top w:val="none" w:sz="0" w:space="0" w:color="auto"/>
                <w:left w:val="none" w:sz="0" w:space="0" w:color="auto"/>
                <w:bottom w:val="none" w:sz="0" w:space="0" w:color="auto"/>
                <w:right w:val="none" w:sz="0" w:space="0" w:color="auto"/>
              </w:divBdr>
              <w:divsChild>
                <w:div w:id="1055280385">
                  <w:marLeft w:val="0"/>
                  <w:marRight w:val="0"/>
                  <w:marTop w:val="0"/>
                  <w:marBottom w:val="0"/>
                  <w:divBdr>
                    <w:top w:val="none" w:sz="0" w:space="0" w:color="auto"/>
                    <w:left w:val="none" w:sz="0" w:space="0" w:color="auto"/>
                    <w:bottom w:val="none" w:sz="0" w:space="0" w:color="auto"/>
                    <w:right w:val="none" w:sz="0" w:space="0" w:color="auto"/>
                  </w:divBdr>
                  <w:divsChild>
                    <w:div w:id="1466895035">
                      <w:marLeft w:val="0"/>
                      <w:marRight w:val="0"/>
                      <w:marTop w:val="0"/>
                      <w:marBottom w:val="0"/>
                      <w:divBdr>
                        <w:top w:val="none" w:sz="0" w:space="0" w:color="auto"/>
                        <w:left w:val="none" w:sz="0" w:space="0" w:color="auto"/>
                        <w:bottom w:val="none" w:sz="0" w:space="0" w:color="auto"/>
                        <w:right w:val="none" w:sz="0" w:space="0" w:color="auto"/>
                      </w:divBdr>
                      <w:divsChild>
                        <w:div w:id="15833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90284">
      <w:bodyDiv w:val="1"/>
      <w:marLeft w:val="0"/>
      <w:marRight w:val="0"/>
      <w:marTop w:val="0"/>
      <w:marBottom w:val="0"/>
      <w:divBdr>
        <w:top w:val="none" w:sz="0" w:space="0" w:color="auto"/>
        <w:left w:val="none" w:sz="0" w:space="0" w:color="auto"/>
        <w:bottom w:val="none" w:sz="0" w:space="0" w:color="auto"/>
        <w:right w:val="none" w:sz="0" w:space="0" w:color="auto"/>
      </w:divBdr>
    </w:div>
    <w:div w:id="1812601370">
      <w:bodyDiv w:val="1"/>
      <w:marLeft w:val="0"/>
      <w:marRight w:val="0"/>
      <w:marTop w:val="0"/>
      <w:marBottom w:val="0"/>
      <w:divBdr>
        <w:top w:val="none" w:sz="0" w:space="0" w:color="auto"/>
        <w:left w:val="none" w:sz="0" w:space="0" w:color="auto"/>
        <w:bottom w:val="none" w:sz="0" w:space="0" w:color="auto"/>
        <w:right w:val="none" w:sz="0" w:space="0" w:color="auto"/>
      </w:divBdr>
      <w:divsChild>
        <w:div w:id="1689912633">
          <w:marLeft w:val="0"/>
          <w:marRight w:val="0"/>
          <w:marTop w:val="0"/>
          <w:marBottom w:val="0"/>
          <w:divBdr>
            <w:top w:val="none" w:sz="0" w:space="0" w:color="auto"/>
            <w:left w:val="none" w:sz="0" w:space="0" w:color="auto"/>
            <w:bottom w:val="none" w:sz="0" w:space="0" w:color="auto"/>
            <w:right w:val="none" w:sz="0" w:space="0" w:color="auto"/>
          </w:divBdr>
          <w:divsChild>
            <w:div w:id="2062947228">
              <w:marLeft w:val="0"/>
              <w:marRight w:val="0"/>
              <w:marTop w:val="0"/>
              <w:marBottom w:val="0"/>
              <w:divBdr>
                <w:top w:val="none" w:sz="0" w:space="0" w:color="auto"/>
                <w:left w:val="none" w:sz="0" w:space="0" w:color="auto"/>
                <w:bottom w:val="none" w:sz="0" w:space="0" w:color="auto"/>
                <w:right w:val="none" w:sz="0" w:space="0" w:color="auto"/>
              </w:divBdr>
              <w:divsChild>
                <w:div w:id="57755499">
                  <w:marLeft w:val="0"/>
                  <w:marRight w:val="0"/>
                  <w:marTop w:val="0"/>
                  <w:marBottom w:val="0"/>
                  <w:divBdr>
                    <w:top w:val="none" w:sz="0" w:space="0" w:color="auto"/>
                    <w:left w:val="none" w:sz="0" w:space="0" w:color="auto"/>
                    <w:bottom w:val="none" w:sz="0" w:space="0" w:color="auto"/>
                    <w:right w:val="none" w:sz="0" w:space="0" w:color="auto"/>
                  </w:divBdr>
                  <w:divsChild>
                    <w:div w:id="1387414489">
                      <w:marLeft w:val="0"/>
                      <w:marRight w:val="0"/>
                      <w:marTop w:val="0"/>
                      <w:marBottom w:val="0"/>
                      <w:divBdr>
                        <w:top w:val="none" w:sz="0" w:space="0" w:color="auto"/>
                        <w:left w:val="none" w:sz="0" w:space="0" w:color="auto"/>
                        <w:bottom w:val="none" w:sz="0" w:space="0" w:color="auto"/>
                        <w:right w:val="none" w:sz="0" w:space="0" w:color="auto"/>
                      </w:divBdr>
                      <w:divsChild>
                        <w:div w:id="1360009457">
                          <w:marLeft w:val="0"/>
                          <w:marRight w:val="0"/>
                          <w:marTop w:val="0"/>
                          <w:marBottom w:val="0"/>
                          <w:divBdr>
                            <w:top w:val="none" w:sz="0" w:space="0" w:color="auto"/>
                            <w:left w:val="none" w:sz="0" w:space="0" w:color="auto"/>
                            <w:bottom w:val="none" w:sz="0" w:space="0" w:color="auto"/>
                            <w:right w:val="none" w:sz="0" w:space="0" w:color="auto"/>
                          </w:divBdr>
                          <w:divsChild>
                            <w:div w:id="606154717">
                              <w:marLeft w:val="0"/>
                              <w:marRight w:val="0"/>
                              <w:marTop w:val="0"/>
                              <w:marBottom w:val="0"/>
                              <w:divBdr>
                                <w:top w:val="none" w:sz="0" w:space="0" w:color="auto"/>
                                <w:left w:val="none" w:sz="0" w:space="0" w:color="auto"/>
                                <w:bottom w:val="none" w:sz="0" w:space="0" w:color="auto"/>
                                <w:right w:val="none" w:sz="0" w:space="0" w:color="auto"/>
                              </w:divBdr>
                              <w:divsChild>
                                <w:div w:id="15091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18423">
      <w:bodyDiv w:val="1"/>
      <w:marLeft w:val="0"/>
      <w:marRight w:val="0"/>
      <w:marTop w:val="0"/>
      <w:marBottom w:val="0"/>
      <w:divBdr>
        <w:top w:val="none" w:sz="0" w:space="0" w:color="auto"/>
        <w:left w:val="none" w:sz="0" w:space="0" w:color="auto"/>
        <w:bottom w:val="none" w:sz="0" w:space="0" w:color="auto"/>
        <w:right w:val="none" w:sz="0" w:space="0" w:color="auto"/>
      </w:divBdr>
    </w:div>
    <w:div w:id="1870220843">
      <w:bodyDiv w:val="1"/>
      <w:marLeft w:val="0"/>
      <w:marRight w:val="0"/>
      <w:marTop w:val="0"/>
      <w:marBottom w:val="0"/>
      <w:divBdr>
        <w:top w:val="none" w:sz="0" w:space="0" w:color="auto"/>
        <w:left w:val="none" w:sz="0" w:space="0" w:color="auto"/>
        <w:bottom w:val="none" w:sz="0" w:space="0" w:color="auto"/>
        <w:right w:val="none" w:sz="0" w:space="0" w:color="auto"/>
      </w:divBdr>
    </w:div>
    <w:div w:id="1908608798">
      <w:bodyDiv w:val="1"/>
      <w:marLeft w:val="0"/>
      <w:marRight w:val="0"/>
      <w:marTop w:val="0"/>
      <w:marBottom w:val="0"/>
      <w:divBdr>
        <w:top w:val="none" w:sz="0" w:space="0" w:color="auto"/>
        <w:left w:val="none" w:sz="0" w:space="0" w:color="auto"/>
        <w:bottom w:val="none" w:sz="0" w:space="0" w:color="auto"/>
        <w:right w:val="none" w:sz="0" w:space="0" w:color="auto"/>
      </w:divBdr>
      <w:divsChild>
        <w:div w:id="2007172816">
          <w:marLeft w:val="0"/>
          <w:marRight w:val="0"/>
          <w:marTop w:val="0"/>
          <w:marBottom w:val="0"/>
          <w:divBdr>
            <w:top w:val="none" w:sz="0" w:space="0" w:color="auto"/>
            <w:left w:val="none" w:sz="0" w:space="0" w:color="auto"/>
            <w:bottom w:val="none" w:sz="0" w:space="0" w:color="auto"/>
            <w:right w:val="none" w:sz="0" w:space="0" w:color="auto"/>
          </w:divBdr>
          <w:divsChild>
            <w:div w:id="448282525">
              <w:marLeft w:val="0"/>
              <w:marRight w:val="0"/>
              <w:marTop w:val="0"/>
              <w:marBottom w:val="0"/>
              <w:divBdr>
                <w:top w:val="none" w:sz="0" w:space="0" w:color="auto"/>
                <w:left w:val="none" w:sz="0" w:space="0" w:color="auto"/>
                <w:bottom w:val="none" w:sz="0" w:space="0" w:color="auto"/>
                <w:right w:val="none" w:sz="0" w:space="0" w:color="auto"/>
              </w:divBdr>
              <w:divsChild>
                <w:div w:id="1316295488">
                  <w:marLeft w:val="0"/>
                  <w:marRight w:val="0"/>
                  <w:marTop w:val="0"/>
                  <w:marBottom w:val="0"/>
                  <w:divBdr>
                    <w:top w:val="none" w:sz="0" w:space="0" w:color="auto"/>
                    <w:left w:val="none" w:sz="0" w:space="0" w:color="auto"/>
                    <w:bottom w:val="none" w:sz="0" w:space="0" w:color="auto"/>
                    <w:right w:val="none" w:sz="0" w:space="0" w:color="auto"/>
                  </w:divBdr>
                  <w:divsChild>
                    <w:div w:id="1498887087">
                      <w:marLeft w:val="0"/>
                      <w:marRight w:val="0"/>
                      <w:marTop w:val="0"/>
                      <w:marBottom w:val="0"/>
                      <w:divBdr>
                        <w:top w:val="none" w:sz="0" w:space="0" w:color="auto"/>
                        <w:left w:val="none" w:sz="0" w:space="0" w:color="auto"/>
                        <w:bottom w:val="none" w:sz="0" w:space="0" w:color="auto"/>
                        <w:right w:val="none" w:sz="0" w:space="0" w:color="auto"/>
                      </w:divBdr>
                      <w:divsChild>
                        <w:div w:id="2040736840">
                          <w:marLeft w:val="0"/>
                          <w:marRight w:val="0"/>
                          <w:marTop w:val="0"/>
                          <w:marBottom w:val="0"/>
                          <w:divBdr>
                            <w:top w:val="none" w:sz="0" w:space="0" w:color="auto"/>
                            <w:left w:val="none" w:sz="0" w:space="0" w:color="auto"/>
                            <w:bottom w:val="none" w:sz="0" w:space="0" w:color="auto"/>
                            <w:right w:val="none" w:sz="0" w:space="0" w:color="auto"/>
                          </w:divBdr>
                          <w:divsChild>
                            <w:div w:id="13387160">
                              <w:marLeft w:val="0"/>
                              <w:marRight w:val="0"/>
                              <w:marTop w:val="0"/>
                              <w:marBottom w:val="0"/>
                              <w:divBdr>
                                <w:top w:val="none" w:sz="0" w:space="0" w:color="auto"/>
                                <w:left w:val="none" w:sz="0" w:space="0" w:color="auto"/>
                                <w:bottom w:val="none" w:sz="0" w:space="0" w:color="auto"/>
                                <w:right w:val="none" w:sz="0" w:space="0" w:color="auto"/>
                              </w:divBdr>
                              <w:divsChild>
                                <w:div w:id="2308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3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3549-D71D-435B-830C-6ABD94C8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20353</Words>
  <Characters>116013</Characters>
  <Application>Microsoft Office Word</Application>
  <DocSecurity>0</DocSecurity>
  <Lines>966</Lines>
  <Paragraphs>272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user</cp:lastModifiedBy>
  <cp:revision>2</cp:revision>
  <dcterms:created xsi:type="dcterms:W3CDTF">2015-09-18T17:10:00Z</dcterms:created>
  <dcterms:modified xsi:type="dcterms:W3CDTF">2015-09-18T17:10:00Z</dcterms:modified>
</cp:coreProperties>
</file>